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9D" w:rsidRDefault="00B303B3">
      <w:pPr>
        <w:widowControl w:val="0"/>
        <w:spacing w:before="227"/>
        <w:rPr>
          <w:rFonts w:ascii="Times New Roman" w:eastAsia="黑体" w:hAnsi="Times New Roman"/>
          <w:b/>
          <w:kern w:val="2"/>
          <w:sz w:val="32"/>
          <w:szCs w:val="32"/>
          <w:lang w:val="en-US"/>
        </w:rPr>
      </w:pPr>
      <w:r>
        <w:rPr>
          <w:rFonts w:ascii="Times New Roman" w:eastAsia="黑体"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Default="002818C2" w:rsidP="00581096">
      <w:pPr>
        <w:widowControl w:val="0"/>
        <w:spacing w:before="227"/>
        <w:jc w:val="center"/>
        <w:rPr>
          <w:rFonts w:ascii="Times New Roman" w:eastAsia="黑体" w:hAnsi="Times New Roman"/>
          <w:kern w:val="2"/>
          <w:sz w:val="32"/>
          <w:szCs w:val="32"/>
          <w:lang w:val="en-US"/>
        </w:rPr>
      </w:pPr>
    </w:p>
    <w:p w:rsidR="009C62B9" w:rsidRDefault="009C62B9" w:rsidP="00581096">
      <w:pPr>
        <w:widowControl w:val="0"/>
        <w:spacing w:before="227"/>
        <w:jc w:val="center"/>
        <w:rPr>
          <w:rFonts w:ascii="Times New Roman" w:eastAsia="黑体" w:hAnsi="Times New Roman"/>
          <w:kern w:val="2"/>
          <w:sz w:val="32"/>
          <w:szCs w:val="32"/>
          <w:lang w:val="en-US"/>
        </w:rPr>
      </w:pP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heme="minorEastAsia" w:hint="eastAsia"/>
          <w:b/>
          <w:kern w:val="2"/>
          <w:sz w:val="44"/>
          <w:szCs w:val="44"/>
          <w:lang w:val="en-US"/>
        </w:rPr>
        <w:t>国华人寿保险股份有限公司</w:t>
      </w:r>
    </w:p>
    <w:p w:rsidR="002818C2" w:rsidRPr="001F0A72" w:rsidRDefault="004E4A68" w:rsidP="00581096">
      <w:pPr>
        <w:widowControl w:val="0"/>
        <w:spacing w:before="227" w:line="0" w:lineRule="atLeast"/>
        <w:jc w:val="center"/>
        <w:rPr>
          <w:rFonts w:ascii="Times New Roman" w:eastAsiaTheme="minorEastAsia" w:hAnsi="Times New Roman"/>
          <w:b/>
          <w:kern w:val="2"/>
          <w:sz w:val="44"/>
          <w:szCs w:val="44"/>
          <w:lang w:val="en-US"/>
        </w:rPr>
      </w:pPr>
      <w:r>
        <w:rPr>
          <w:rFonts w:ascii="Times New Roman" w:eastAsiaTheme="minorEastAsia" w:hAnsiTheme="minorEastAsia" w:hint="eastAsia"/>
          <w:b/>
          <w:kern w:val="2"/>
          <w:sz w:val="44"/>
          <w:szCs w:val="44"/>
          <w:lang w:val="en-US"/>
        </w:rPr>
        <w:t>稳健</w:t>
      </w:r>
      <w:r w:rsidR="00CC5E23" w:rsidRPr="00CC5E23">
        <w:rPr>
          <w:rFonts w:ascii="Times New Roman" w:eastAsiaTheme="minorEastAsia" w:hAnsiTheme="minorEastAsia" w:hint="eastAsia"/>
          <w:b/>
          <w:kern w:val="2"/>
          <w:sz w:val="44"/>
          <w:szCs w:val="44"/>
          <w:lang w:val="en-US"/>
        </w:rPr>
        <w:t>型投资连结保险投资账户</w:t>
      </w: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imes New Roman"/>
          <w:b/>
          <w:kern w:val="2"/>
          <w:sz w:val="44"/>
          <w:szCs w:val="44"/>
          <w:lang w:val="en-US"/>
        </w:rPr>
        <w:t>201</w:t>
      </w:r>
      <w:r w:rsidR="00CD2F82">
        <w:rPr>
          <w:rFonts w:ascii="Times New Roman" w:eastAsiaTheme="minorEastAsia" w:hAnsi="Times New Roman" w:hint="eastAsia"/>
          <w:b/>
          <w:kern w:val="2"/>
          <w:sz w:val="44"/>
          <w:szCs w:val="44"/>
          <w:lang w:val="en-US"/>
        </w:rPr>
        <w:t>6</w:t>
      </w:r>
      <w:r w:rsidR="007402F1">
        <w:rPr>
          <w:rFonts w:ascii="Times New Roman" w:eastAsiaTheme="minorEastAsia" w:hAnsiTheme="minorEastAsia" w:hint="eastAsia"/>
          <w:b/>
          <w:kern w:val="2"/>
          <w:sz w:val="44"/>
          <w:szCs w:val="44"/>
          <w:lang w:val="en-US"/>
        </w:rPr>
        <w:t>年</w:t>
      </w:r>
      <w:r w:rsidR="00941CE7">
        <w:rPr>
          <w:rFonts w:ascii="Times New Roman" w:eastAsiaTheme="minorEastAsia" w:hAnsiTheme="minorEastAsia" w:hint="eastAsia"/>
          <w:b/>
          <w:kern w:val="2"/>
          <w:sz w:val="44"/>
          <w:szCs w:val="44"/>
          <w:lang w:val="en-US"/>
        </w:rPr>
        <w:t>半年度</w:t>
      </w:r>
      <w:r w:rsidR="00DC08B3">
        <w:rPr>
          <w:rFonts w:ascii="Times New Roman" w:eastAsiaTheme="minorEastAsia" w:hAnsiTheme="minorEastAsia" w:hint="eastAsia"/>
          <w:b/>
          <w:kern w:val="2"/>
          <w:sz w:val="44"/>
          <w:szCs w:val="44"/>
          <w:lang w:val="en-US"/>
        </w:rPr>
        <w:t>信息公告</w:t>
      </w:r>
    </w:p>
    <w:p w:rsidR="002818C2" w:rsidRPr="00581096" w:rsidRDefault="002818C2" w:rsidP="00581096">
      <w:pPr>
        <w:widowControl w:val="0"/>
        <w:spacing w:before="227" w:line="0" w:lineRule="atLeast"/>
        <w:jc w:val="center"/>
        <w:rPr>
          <w:rFonts w:asciiTheme="majorEastAsia" w:eastAsiaTheme="majorEastAsia" w:hAnsiTheme="majorEastAsia"/>
          <w:b/>
          <w:kern w:val="2"/>
          <w:sz w:val="32"/>
          <w:szCs w:val="32"/>
          <w:lang w:val="en-US"/>
        </w:rPr>
      </w:pPr>
    </w:p>
    <w:p w:rsidR="002818C2" w:rsidRPr="00581096" w:rsidRDefault="002818C2" w:rsidP="00FF721F">
      <w:pPr>
        <w:rPr>
          <w:rFonts w:asciiTheme="majorEastAsia" w:eastAsiaTheme="majorEastAsia" w:hAnsiTheme="majorEastAsia"/>
          <w:b/>
          <w:sz w:val="21"/>
          <w:szCs w:val="21"/>
          <w:lang w:val="en-US"/>
        </w:rPr>
      </w:pPr>
      <w:bookmarkStart w:id="1" w:name="company_cname"/>
      <w:bookmarkStart w:id="2" w:name="year"/>
      <w:bookmarkEnd w:id="1"/>
      <w:bookmarkEnd w:id="2"/>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1F0A72" w:rsidRDefault="002818C2" w:rsidP="00FF721F">
      <w:pPr>
        <w:rPr>
          <w:rFonts w:ascii="Times New Roman" w:eastAsiaTheme="minorEastAsia" w:hAnsi="Times New Roman"/>
          <w:sz w:val="21"/>
          <w:szCs w:val="21"/>
          <w:lang w:val="en-US"/>
        </w:rPr>
      </w:pPr>
    </w:p>
    <w:p w:rsidR="00DD739D" w:rsidRDefault="00CC5E23">
      <w:pPr>
        <w:spacing w:line="360" w:lineRule="auto"/>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重要声明与提示：</w:t>
      </w:r>
    </w:p>
    <w:p w:rsidR="00DD739D" w:rsidRDefault="00CC5E23" w:rsidP="005F681D">
      <w:pPr>
        <w:spacing w:line="360" w:lineRule="auto"/>
        <w:ind w:rightChars="118" w:right="260"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本信息公告依据中国保险监督管理委员会颁布的</w:t>
      </w:r>
      <w:r w:rsidR="001D7AC7" w:rsidRPr="001D7AC7">
        <w:rPr>
          <w:rFonts w:ascii="Times New Roman" w:eastAsiaTheme="minorEastAsia" w:hAnsiTheme="minorEastAsia"/>
          <w:sz w:val="21"/>
          <w:szCs w:val="21"/>
          <w:lang w:val="en-US"/>
        </w:rPr>
        <w:t>《</w:t>
      </w:r>
      <w:r w:rsidR="001D7AC7" w:rsidRPr="001D7AC7">
        <w:rPr>
          <w:rFonts w:ascii="Times New Roman" w:eastAsiaTheme="minorEastAsia" w:hAnsiTheme="minorEastAsia" w:hint="eastAsia"/>
          <w:sz w:val="21"/>
          <w:szCs w:val="21"/>
          <w:lang w:val="en-US"/>
        </w:rPr>
        <w:t>中国保监会关于规范投资连结保险投资账户有关事项的通知</w:t>
      </w:r>
      <w:r w:rsidR="001D7AC7" w:rsidRPr="001D7AC7">
        <w:rPr>
          <w:rFonts w:ascii="Times New Roman" w:eastAsiaTheme="minorEastAsia" w:hAnsiTheme="minorEastAsia"/>
          <w:sz w:val="21"/>
          <w:szCs w:val="21"/>
          <w:lang w:val="en-US"/>
        </w:rPr>
        <w:t>》</w:t>
      </w:r>
      <w:r w:rsidRPr="00CC5E23">
        <w:rPr>
          <w:rFonts w:ascii="Times New Roman" w:eastAsiaTheme="minorEastAsia" w:hAnsiTheme="minorEastAsia" w:hint="eastAsia"/>
          <w:sz w:val="21"/>
          <w:szCs w:val="21"/>
          <w:lang w:val="en-US"/>
        </w:rPr>
        <w:t>和《人身保险新型产品信息披露管理办法》编制并发布。</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本公司承诺遵循有关监管规定，以诚实信用、谨慎稳健的原则进行投资连结保险投资账户的投资。</w:t>
      </w:r>
    </w:p>
    <w:p w:rsidR="00160315" w:rsidRDefault="00CC5E23" w:rsidP="007511D3">
      <w:pPr>
        <w:spacing w:line="360" w:lineRule="auto"/>
        <w:ind w:rightChars="118" w:right="260" w:firstLine="405"/>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本信息公告所披露数据仅代表过往业绩，并不代表其未来表现。敬请投保人注意投资风险，并仔细阅读相关保险条款和产品说明书。</w:t>
      </w:r>
    </w:p>
    <w:p w:rsidR="00DD739D" w:rsidRDefault="00CC5E23" w:rsidP="007511D3">
      <w:pPr>
        <w:spacing w:line="360" w:lineRule="auto"/>
        <w:ind w:rightChars="118" w:right="260" w:firstLine="405"/>
        <w:jc w:val="both"/>
        <w:rPr>
          <w:rFonts w:ascii="Times New Roman" w:eastAsiaTheme="minorEastAsia" w:hAnsi="Times New Roman"/>
          <w:sz w:val="21"/>
          <w:szCs w:val="21"/>
          <w:lang w:val="en-US"/>
        </w:rPr>
        <w:sectPr w:rsidR="00DD739D" w:rsidSect="00532157">
          <w:footerReference w:type="default" r:id="rId9"/>
          <w:pgSz w:w="11906" w:h="16838" w:code="9"/>
          <w:pgMar w:top="1440" w:right="1800" w:bottom="1440" w:left="1800" w:header="851" w:footer="992" w:gutter="0"/>
          <w:cols w:space="425"/>
          <w:docGrid w:type="lines" w:linePitch="312"/>
        </w:sectPr>
      </w:pPr>
      <w:r w:rsidRPr="00CC5E23">
        <w:rPr>
          <w:rFonts w:ascii="Times New Roman" w:eastAsiaTheme="minorEastAsia" w:hAnsiTheme="minorEastAsia" w:hint="eastAsia"/>
          <w:sz w:val="21"/>
          <w:szCs w:val="21"/>
          <w:lang w:val="en-US"/>
        </w:rPr>
        <w:t>本信息公告报告期为</w:t>
      </w:r>
      <w:r w:rsidRPr="00CC5E23">
        <w:rPr>
          <w:rFonts w:ascii="Times New Roman" w:eastAsiaTheme="minorEastAsia" w:hAnsi="Times New Roman"/>
          <w:sz w:val="21"/>
          <w:szCs w:val="21"/>
          <w:lang w:val="en-US"/>
        </w:rPr>
        <w:t>201</w:t>
      </w:r>
      <w:r w:rsidR="00CD2F82">
        <w:rPr>
          <w:rFonts w:ascii="Times New Roman" w:eastAsiaTheme="minorEastAsia" w:hAnsi="Times New Roman" w:hint="eastAsia"/>
          <w:sz w:val="21"/>
          <w:szCs w:val="21"/>
          <w:lang w:val="en-US"/>
        </w:rPr>
        <w:t>6</w:t>
      </w:r>
      <w:r w:rsidRPr="00604C30">
        <w:rPr>
          <w:rFonts w:ascii="Times New Roman" w:eastAsiaTheme="minorEastAsia" w:hAnsiTheme="minorEastAsia" w:hint="eastAsia"/>
          <w:sz w:val="21"/>
          <w:szCs w:val="21"/>
          <w:lang w:val="en-US"/>
        </w:rPr>
        <w:t>年</w:t>
      </w:r>
      <w:r w:rsidR="00303D72">
        <w:rPr>
          <w:rFonts w:ascii="Times New Roman" w:eastAsiaTheme="minorEastAsia" w:hAnsi="Times New Roman" w:hint="eastAsia"/>
          <w:sz w:val="21"/>
          <w:szCs w:val="21"/>
          <w:lang w:val="en-US"/>
        </w:rPr>
        <w:t>1</w:t>
      </w:r>
      <w:r w:rsidRPr="00604C30">
        <w:rPr>
          <w:rFonts w:ascii="Times New Roman" w:eastAsiaTheme="minorEastAsia" w:hAnsiTheme="minorEastAsia" w:hint="eastAsia"/>
          <w:sz w:val="21"/>
          <w:szCs w:val="21"/>
          <w:lang w:val="en-US"/>
        </w:rPr>
        <w:t>月</w:t>
      </w:r>
      <w:r w:rsidR="00303D72">
        <w:rPr>
          <w:rFonts w:ascii="Times New Roman" w:eastAsiaTheme="minorEastAsia" w:hAnsi="Times New Roman" w:hint="eastAsia"/>
          <w:sz w:val="21"/>
          <w:szCs w:val="21"/>
          <w:lang w:val="en-US"/>
        </w:rPr>
        <w:t>1</w:t>
      </w:r>
      <w:r w:rsidR="009060E7">
        <w:rPr>
          <w:rFonts w:ascii="Times New Roman" w:eastAsiaTheme="minorEastAsia" w:hAnsiTheme="minorEastAsia" w:hint="eastAsia"/>
          <w:sz w:val="21"/>
          <w:szCs w:val="21"/>
          <w:lang w:val="en-US"/>
        </w:rPr>
        <w:t>日</w:t>
      </w:r>
      <w:r w:rsidR="009060E7">
        <w:rPr>
          <w:rFonts w:ascii="Times New Roman" w:eastAsiaTheme="minorEastAsia" w:hAnsi="Times New Roman"/>
          <w:sz w:val="21"/>
          <w:szCs w:val="21"/>
          <w:lang w:val="en-US"/>
        </w:rPr>
        <w:t>-201</w:t>
      </w:r>
      <w:r w:rsidR="00CD2F82">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460E14">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460E14">
        <w:rPr>
          <w:rFonts w:ascii="Times New Roman" w:eastAsiaTheme="minorEastAsia" w:hAnsi="Times New Roman" w:hint="eastAsia"/>
          <w:sz w:val="21"/>
          <w:szCs w:val="21"/>
          <w:lang w:val="en-US"/>
        </w:rPr>
        <w:t>30</w:t>
      </w:r>
      <w:r w:rsidRPr="00CC5E23">
        <w:rPr>
          <w:rFonts w:ascii="Times New Roman" w:eastAsiaTheme="minorEastAsia" w:hAnsiTheme="minorEastAsia" w:hint="eastAsia"/>
          <w:sz w:val="21"/>
          <w:szCs w:val="21"/>
          <w:lang w:val="en-US"/>
        </w:rPr>
        <w:t>日。</w:t>
      </w:r>
    </w:p>
    <w:p w:rsidR="00CC5E23" w:rsidRPr="00CC5E23" w:rsidRDefault="00CC5E23" w:rsidP="00CC5E23">
      <w:pPr>
        <w:spacing w:line="360" w:lineRule="auto"/>
        <w:ind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一、基本信息</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自</w:t>
      </w:r>
      <w:r w:rsidRPr="00CC5E23">
        <w:rPr>
          <w:rFonts w:ascii="Times New Roman" w:eastAsiaTheme="minorEastAsia" w:hAnsi="Times New Roman"/>
          <w:sz w:val="21"/>
          <w:szCs w:val="21"/>
          <w:lang w:val="en-US"/>
        </w:rPr>
        <w:t>2014</w:t>
      </w:r>
      <w:r w:rsidRPr="00CC5E23">
        <w:rPr>
          <w:rFonts w:ascii="Times New Roman" w:eastAsiaTheme="minorEastAsia" w:hAnsiTheme="minorEastAsia" w:hint="eastAsia"/>
          <w:sz w:val="21"/>
          <w:szCs w:val="21"/>
          <w:lang w:val="en-US"/>
        </w:rPr>
        <w:t>年</w:t>
      </w:r>
      <w:r w:rsidR="004E4A68">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月起，公司为投资连结保险产品设立了国华</w:t>
      </w:r>
      <w:r w:rsidR="004E4A68">
        <w:rPr>
          <w:rFonts w:ascii="Times New Roman" w:eastAsiaTheme="minorEastAsia" w:hAnsiTheme="minorEastAsia" w:hint="eastAsia"/>
          <w:sz w:val="21"/>
          <w:szCs w:val="21"/>
          <w:lang w:val="en-US"/>
        </w:rPr>
        <w:t>稳健</w:t>
      </w:r>
      <w:r w:rsidRPr="00CC5E23">
        <w:rPr>
          <w:rFonts w:ascii="Times New Roman" w:eastAsiaTheme="minorEastAsia" w:hAnsiTheme="minorEastAsia" w:hint="eastAsia"/>
          <w:sz w:val="21"/>
          <w:szCs w:val="21"/>
          <w:lang w:val="en-US"/>
        </w:rPr>
        <w:t>型投资账户，该账户依照中国保监会有关规定和国华华瑞</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号终身寿险（投资连结型）</w:t>
      </w:r>
      <w:r w:rsidRPr="00CC5E23">
        <w:rPr>
          <w:rFonts w:ascii="Times New Roman" w:eastAsiaTheme="minorEastAsia" w:hAnsi="Times New Roman"/>
          <w:sz w:val="21"/>
          <w:szCs w:val="21"/>
          <w:lang w:val="en-US"/>
        </w:rPr>
        <w:t>A</w:t>
      </w:r>
      <w:r w:rsidRPr="00CC5E23">
        <w:rPr>
          <w:rFonts w:ascii="Times New Roman" w:eastAsiaTheme="minorEastAsia" w:hAnsiTheme="minorEastAsia" w:hint="eastAsia"/>
          <w:sz w:val="21"/>
          <w:szCs w:val="21"/>
          <w:lang w:val="en-US"/>
        </w:rPr>
        <w:t>款有关条款，并经中国保监会审批后设立。</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上述投资账户采取专业化的资金运作管理方式，投资管理与投资组合均符合中国保监会相关规定和保单条款的有关内容。</w:t>
      </w:r>
    </w:p>
    <w:p w:rsidR="004E4A68" w:rsidRPr="004E4A68" w:rsidRDefault="00CC5E23" w:rsidP="004E4A68">
      <w:pPr>
        <w:spacing w:line="360" w:lineRule="auto"/>
        <w:ind w:firstLineChars="200" w:firstLine="420"/>
        <w:jc w:val="both"/>
        <w:rPr>
          <w:rFonts w:ascii="Times New Roman" w:eastAsiaTheme="minorEastAsia" w:hAnsiTheme="minorEastAsia"/>
          <w:sz w:val="21"/>
          <w:szCs w:val="21"/>
          <w:lang w:val="en-US"/>
        </w:rPr>
      </w:pPr>
      <w:r w:rsidRPr="004E4A68">
        <w:rPr>
          <w:rFonts w:ascii="Times New Roman" w:eastAsiaTheme="minorEastAsia" w:hAnsiTheme="minorEastAsia"/>
          <w:sz w:val="21"/>
          <w:szCs w:val="21"/>
          <w:lang w:val="en-US"/>
        </w:rPr>
        <w:t>1</w:t>
      </w:r>
      <w:r w:rsidRPr="004E4A68">
        <w:rPr>
          <w:rFonts w:ascii="Times New Roman" w:eastAsiaTheme="minorEastAsia" w:hAnsiTheme="minorEastAsia" w:hint="eastAsia"/>
          <w:sz w:val="21"/>
          <w:szCs w:val="21"/>
          <w:lang w:val="en-US"/>
        </w:rPr>
        <w:t>、账户设立时间</w:t>
      </w:r>
      <w:r w:rsidRPr="00CC5E23">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t>2014</w:t>
      </w:r>
      <w:r w:rsidRPr="00CC5E23">
        <w:rPr>
          <w:rFonts w:ascii="Times New Roman" w:eastAsiaTheme="minorEastAsia" w:hAnsiTheme="minorEastAsia" w:hint="eastAsia"/>
          <w:sz w:val="21"/>
          <w:szCs w:val="21"/>
          <w:lang w:val="en-US"/>
        </w:rPr>
        <w:t>年</w:t>
      </w:r>
      <w:r w:rsidR="004E4A68" w:rsidRPr="004E4A68">
        <w:rPr>
          <w:rFonts w:ascii="Times New Roman" w:eastAsiaTheme="minorEastAsia" w:hAnsiTheme="minorEastAsia" w:hint="eastAsia"/>
          <w:sz w:val="21"/>
          <w:szCs w:val="21"/>
          <w:lang w:val="en-US"/>
        </w:rPr>
        <w:t>5</w:t>
      </w:r>
      <w:r w:rsidRPr="00CC5E23">
        <w:rPr>
          <w:rFonts w:ascii="Times New Roman" w:eastAsiaTheme="minorEastAsia" w:hAnsiTheme="minorEastAsia" w:hint="eastAsia"/>
          <w:sz w:val="21"/>
          <w:szCs w:val="21"/>
          <w:lang w:val="en-US"/>
        </w:rPr>
        <w:t>月</w:t>
      </w:r>
      <w:r w:rsidR="004E4A68" w:rsidRPr="004E4A68">
        <w:rPr>
          <w:rFonts w:ascii="Times New Roman" w:eastAsiaTheme="minorEastAsia" w:hAnsiTheme="minorEastAsia" w:hint="eastAsia"/>
          <w:sz w:val="21"/>
          <w:szCs w:val="21"/>
          <w:lang w:val="en-US"/>
        </w:rPr>
        <w:t>29</w:t>
      </w:r>
      <w:r w:rsidRPr="00CC5E23">
        <w:rPr>
          <w:rFonts w:ascii="Times New Roman" w:eastAsiaTheme="minorEastAsia" w:hAnsiTheme="minorEastAsia" w:hint="eastAsia"/>
          <w:sz w:val="21"/>
          <w:szCs w:val="21"/>
          <w:lang w:val="en-US"/>
        </w:rPr>
        <w:t>日。</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4E4A68">
        <w:rPr>
          <w:rFonts w:ascii="Times New Roman" w:eastAsiaTheme="minorEastAsia" w:hAnsiTheme="minorEastAsia"/>
          <w:sz w:val="21"/>
          <w:szCs w:val="21"/>
          <w:lang w:val="en-US"/>
        </w:rPr>
        <w:t>2</w:t>
      </w:r>
      <w:r w:rsidRPr="004E4A68">
        <w:rPr>
          <w:rFonts w:ascii="Times New Roman" w:eastAsiaTheme="minorEastAsia" w:hAnsiTheme="minorEastAsia" w:hint="eastAsia"/>
          <w:sz w:val="21"/>
          <w:szCs w:val="21"/>
          <w:lang w:val="en-US"/>
        </w:rPr>
        <w:t>、账户特征：</w:t>
      </w:r>
      <w:r w:rsidR="004E4A68" w:rsidRPr="004E4A68">
        <w:rPr>
          <w:rFonts w:ascii="Times New Roman" w:eastAsiaTheme="minorEastAsia" w:hAnsiTheme="minorEastAsia" w:hint="eastAsia"/>
          <w:sz w:val="21"/>
          <w:szCs w:val="21"/>
          <w:lang w:val="en-US"/>
        </w:rPr>
        <w:t>本投资账户为稳健型投资账户，以固定收益类资产投资为主，在承担中等投资风险的基础上，力求获得投资账户资产的长期稳定增长</w:t>
      </w:r>
      <w:r w:rsidRPr="004E4A68">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4E4A68">
        <w:rPr>
          <w:rFonts w:ascii="Times New Roman" w:eastAsiaTheme="minorEastAsia" w:hAnsiTheme="minorEastAsia"/>
          <w:sz w:val="21"/>
          <w:szCs w:val="21"/>
          <w:lang w:val="en-US"/>
        </w:rPr>
        <w:t>3</w:t>
      </w:r>
      <w:r w:rsidRPr="004E4A68">
        <w:rPr>
          <w:rFonts w:ascii="Times New Roman" w:eastAsiaTheme="minorEastAsia" w:hAnsiTheme="minorEastAsia" w:hint="eastAsia"/>
          <w:sz w:val="21"/>
          <w:szCs w:val="21"/>
          <w:lang w:val="en-US"/>
        </w:rPr>
        <w:t>、主要投资工具及投资策略：</w:t>
      </w:r>
      <w:r w:rsidR="004E4A68" w:rsidRPr="004E4A68">
        <w:rPr>
          <w:rFonts w:ascii="Times New Roman" w:eastAsiaTheme="minorEastAsia" w:hAnsiTheme="minorEastAsia" w:hint="eastAsia"/>
          <w:sz w:val="21"/>
          <w:szCs w:val="21"/>
          <w:lang w:val="en-US"/>
        </w:rPr>
        <w:t>本账户以固定收益类资产投资为主，固定收益类资产包括各种债券、回购、银行协议存款、债券型基金、基础设施债权投资计划等，其中各种债券包括国债、政策性金融债、央行票据、短期融资券、中期票据、企业债和公司债等。本账户也将投资于流动性资产和金融产品。其中，流动性资产包括现金、货币市场基金、银行活期存款、银行通知存款、剩余期限不超过</w:t>
      </w:r>
      <w:r w:rsidR="004E4A68" w:rsidRPr="004E4A68">
        <w:rPr>
          <w:rFonts w:ascii="Times New Roman" w:eastAsiaTheme="minorEastAsia" w:hAnsiTheme="minorEastAsia"/>
          <w:sz w:val="21"/>
          <w:szCs w:val="21"/>
          <w:lang w:val="en-US"/>
        </w:rPr>
        <w:t>1</w:t>
      </w:r>
      <w:r w:rsidR="004E4A68" w:rsidRPr="004E4A68">
        <w:rPr>
          <w:rFonts w:ascii="Times New Roman" w:eastAsiaTheme="minorEastAsia" w:hAnsiTheme="minorEastAsia" w:hint="eastAsia"/>
          <w:sz w:val="21"/>
          <w:szCs w:val="21"/>
          <w:lang w:val="en-US"/>
        </w:rPr>
        <w:t>年的政府债券和准政府债券等；金融产品包括银行理财产品、券商专项资产管理计划、信托公司集合资金信托计划和不动产投资计划等。本投资账户不投资于权益类资产。</w:t>
      </w:r>
    </w:p>
    <w:p w:rsidR="00DD739D" w:rsidRDefault="004E4A68" w:rsidP="004E4A68">
      <w:pPr>
        <w:spacing w:line="360" w:lineRule="auto"/>
        <w:ind w:firstLineChars="200" w:firstLine="420"/>
        <w:jc w:val="both"/>
        <w:rPr>
          <w:rFonts w:ascii="Times New Roman" w:eastAsiaTheme="minorEastAsia" w:hAnsi="Times New Roman"/>
          <w:sz w:val="20"/>
          <w:szCs w:val="20"/>
        </w:rPr>
      </w:pPr>
      <w:r w:rsidRPr="004E4A68">
        <w:rPr>
          <w:rFonts w:ascii="Times New Roman" w:eastAsiaTheme="minorEastAsia" w:hAnsiTheme="minorEastAsia" w:hint="eastAsia"/>
          <w:sz w:val="21"/>
          <w:szCs w:val="21"/>
          <w:lang w:val="en-US"/>
        </w:rPr>
        <w:t>本投资账户主要通过投资证券投资基金、银行存款、债券、回购、债权投资计划、信托公司集合资金信托计划和银行理财产品等品种来获得稳定收益；在具体投资中，通过债券投资组合久期的变化来应对市场利率变化，与此同时，在债券品种的选择上，注重于企业债、公司债等信用产品的投资，通过对不同信用产品的深入分析，获取超额收益；在对利率走势做准确判</w:t>
      </w:r>
      <w:r w:rsidRPr="00B74FE7">
        <w:rPr>
          <w:rFonts w:ascii="Times New Roman" w:eastAsiaTheme="minorEastAsia" w:hAnsiTheme="minorEastAsia" w:hint="eastAsia"/>
          <w:sz w:val="21"/>
          <w:szCs w:val="21"/>
          <w:lang w:val="en-US"/>
        </w:rPr>
        <w:t>断的同时，获取较为稳定的信用利差收益</w:t>
      </w:r>
      <w:r w:rsidR="00CC5E23" w:rsidRPr="00B74FE7">
        <w:rPr>
          <w:rFonts w:ascii="Times New Roman" w:eastAsiaTheme="minorEastAsia" w:hAnsiTheme="minorEastAsia" w:hint="eastAsia"/>
          <w:sz w:val="21"/>
          <w:szCs w:val="21"/>
          <w:lang w:val="en-US"/>
        </w:rPr>
        <w:t>。</w:t>
      </w:r>
      <w:r w:rsidR="00CC5E23" w:rsidRPr="00B74FE7">
        <w:rPr>
          <w:rFonts w:ascii="Times New Roman" w:eastAsiaTheme="minorEastAsia" w:hAnsiTheme="minorEastAsia"/>
          <w:sz w:val="21"/>
          <w:szCs w:val="21"/>
          <w:lang w:val="en-US"/>
        </w:rPr>
        <w:br/>
      </w:r>
      <w:r w:rsidR="00CC5E23" w:rsidRPr="00B74FE7">
        <w:rPr>
          <w:rFonts w:ascii="Times New Roman" w:eastAsiaTheme="minorEastAsia" w:hAnsiTheme="minorEastAsia" w:hint="eastAsia"/>
          <w:sz w:val="21"/>
          <w:szCs w:val="21"/>
          <w:lang w:val="en-US"/>
        </w:rPr>
        <w:t xml:space="preserve">　　</w:t>
      </w:r>
      <w:r w:rsidR="00CC5E23" w:rsidRPr="00B74FE7">
        <w:rPr>
          <w:rFonts w:ascii="Times New Roman" w:eastAsiaTheme="minorEastAsia" w:hAnsi="Times New Roman"/>
          <w:sz w:val="21"/>
          <w:szCs w:val="21"/>
          <w:lang w:val="en-US"/>
        </w:rPr>
        <w:t>4</w:t>
      </w:r>
      <w:r w:rsidR="00CC5E23" w:rsidRPr="00B74FE7">
        <w:rPr>
          <w:rFonts w:ascii="Times New Roman" w:eastAsiaTheme="minorEastAsia" w:hAnsiTheme="minorEastAsia" w:hint="eastAsia"/>
          <w:sz w:val="21"/>
          <w:szCs w:val="21"/>
          <w:lang w:val="en-US"/>
        </w:rPr>
        <w:t>、投资组合限制：</w:t>
      </w:r>
      <w:r w:rsidRPr="00B74FE7">
        <w:rPr>
          <w:rFonts w:ascii="Times New Roman" w:eastAsiaTheme="minorEastAsia" w:hAnsiTheme="minorEastAsia" w:hint="eastAsia"/>
          <w:sz w:val="21"/>
          <w:szCs w:val="21"/>
          <w:lang w:val="en-US"/>
        </w:rPr>
        <w:t>流动性资产投资比例为账户总资产的</w:t>
      </w:r>
      <w:r w:rsidRPr="00B74FE7">
        <w:rPr>
          <w:rFonts w:ascii="Times New Roman" w:eastAsiaTheme="minorEastAsia" w:hAnsiTheme="minorEastAsia"/>
          <w:sz w:val="21"/>
          <w:szCs w:val="21"/>
          <w:lang w:val="en-US"/>
        </w:rPr>
        <w:t>0-20%</w:t>
      </w:r>
      <w:r w:rsidRPr="00B74FE7">
        <w:rPr>
          <w:rFonts w:ascii="Times New Roman" w:eastAsiaTheme="minorEastAsia" w:hAnsiTheme="minorEastAsia" w:hint="eastAsia"/>
          <w:sz w:val="21"/>
          <w:szCs w:val="21"/>
          <w:lang w:val="en-US"/>
        </w:rPr>
        <w:t>；固定收益类资产投资比例为账户总资产的</w:t>
      </w:r>
      <w:r w:rsidRPr="00B74FE7">
        <w:rPr>
          <w:rFonts w:ascii="Times New Roman" w:eastAsiaTheme="minorEastAsia" w:hAnsiTheme="minorEastAsia"/>
          <w:sz w:val="21"/>
          <w:szCs w:val="21"/>
          <w:lang w:val="en-US"/>
        </w:rPr>
        <w:t>0-80%</w:t>
      </w:r>
      <w:r w:rsidRPr="00B74FE7">
        <w:rPr>
          <w:rFonts w:ascii="Times New Roman" w:eastAsiaTheme="minorEastAsia" w:hAnsiTheme="minorEastAsia" w:hint="eastAsia"/>
          <w:sz w:val="21"/>
          <w:szCs w:val="21"/>
          <w:lang w:val="en-US"/>
        </w:rPr>
        <w:t>；金融产品、基础设施债权投资计划等其它金融资产投资比例为账户总资产的</w:t>
      </w:r>
      <w:r w:rsidRPr="00B74FE7">
        <w:rPr>
          <w:rFonts w:ascii="Times New Roman" w:eastAsiaTheme="minorEastAsia" w:hAnsiTheme="minorEastAsia"/>
          <w:sz w:val="21"/>
          <w:szCs w:val="21"/>
          <w:lang w:val="en-US"/>
        </w:rPr>
        <w:t>0-95%</w:t>
      </w:r>
      <w:r w:rsidR="00CC5E23" w:rsidRPr="00B74FE7">
        <w:rPr>
          <w:rFonts w:ascii="Times New Roman" w:eastAsiaTheme="minorEastAsia" w:hAnsiTheme="minorEastAsia" w:hint="eastAsia"/>
          <w:sz w:val="21"/>
          <w:szCs w:val="21"/>
          <w:lang w:val="en-US"/>
        </w:rPr>
        <w:t>。</w:t>
      </w:r>
      <w:r w:rsidR="00CC5E23" w:rsidRPr="00B74FE7">
        <w:rPr>
          <w:rFonts w:ascii="Times New Roman" w:eastAsiaTheme="minorEastAsia" w:hAnsiTheme="minorEastAsia"/>
          <w:sz w:val="21"/>
          <w:szCs w:val="21"/>
          <w:lang w:val="en-US"/>
        </w:rPr>
        <w:br/>
      </w:r>
      <w:r w:rsidR="00CC5E23" w:rsidRPr="00B74FE7">
        <w:rPr>
          <w:rFonts w:ascii="Times New Roman" w:eastAsiaTheme="minorEastAsia" w:hAnsiTheme="minorEastAsia" w:hint="eastAsia"/>
          <w:sz w:val="21"/>
          <w:szCs w:val="21"/>
        </w:rPr>
        <w:t xml:space="preserve">　　</w:t>
      </w:r>
      <w:r w:rsidR="00CC5E23" w:rsidRPr="00B74FE7">
        <w:rPr>
          <w:rFonts w:ascii="Times New Roman" w:eastAsiaTheme="minorEastAsia" w:hAnsi="Times New Roman"/>
          <w:sz w:val="21"/>
          <w:szCs w:val="21"/>
        </w:rPr>
        <w:t>5</w:t>
      </w:r>
      <w:r w:rsidR="00CC5E23" w:rsidRPr="00B74FE7">
        <w:rPr>
          <w:rFonts w:ascii="Times New Roman" w:eastAsiaTheme="minorEastAsia" w:hAnsiTheme="minorEastAsia" w:hint="eastAsia"/>
          <w:sz w:val="21"/>
          <w:szCs w:val="21"/>
        </w:rPr>
        <w:t>、主要投资风险：市场风险、信用风险、流动性风险及管理操作风险。</w:t>
      </w:r>
    </w:p>
    <w:p w:rsidR="009B5BF8" w:rsidRPr="00532157" w:rsidRDefault="009B5BF8" w:rsidP="00532157">
      <w:pPr>
        <w:pStyle w:val="Default"/>
        <w:spacing w:line="360" w:lineRule="auto"/>
        <w:ind w:firstLineChars="200" w:firstLine="400"/>
        <w:jc w:val="both"/>
        <w:rPr>
          <w:rFonts w:ascii="Times New Roman" w:eastAsiaTheme="minorEastAsia" w:cs="Times New Roman"/>
          <w:sz w:val="20"/>
          <w:szCs w:val="20"/>
        </w:rPr>
      </w:pPr>
    </w:p>
    <w:p w:rsidR="00B249DC" w:rsidRDefault="00B249DC" w:rsidP="00424E6F">
      <w:pPr>
        <w:pStyle w:val="Default"/>
        <w:spacing w:line="360" w:lineRule="auto"/>
        <w:jc w:val="both"/>
        <w:rPr>
          <w:rFonts w:ascii="Times New Roman" w:eastAsiaTheme="minorEastAsia" w:cs="Times New Roman"/>
          <w:b/>
          <w:sz w:val="20"/>
          <w:szCs w:val="20"/>
        </w:rPr>
      </w:pPr>
    </w:p>
    <w:p w:rsidR="00B249DC" w:rsidRDefault="00B249DC" w:rsidP="00424E6F">
      <w:pPr>
        <w:pStyle w:val="Default"/>
        <w:spacing w:line="360" w:lineRule="auto"/>
        <w:jc w:val="both"/>
        <w:rPr>
          <w:rFonts w:ascii="Times New Roman" w:eastAsiaTheme="minorEastAsia" w:cs="Times New Roman"/>
          <w:b/>
          <w:sz w:val="20"/>
          <w:szCs w:val="20"/>
        </w:rPr>
      </w:pPr>
    </w:p>
    <w:p w:rsidR="00B74FE7" w:rsidRDefault="00B74FE7" w:rsidP="00424E6F">
      <w:pPr>
        <w:pStyle w:val="Default"/>
        <w:spacing w:line="360" w:lineRule="auto"/>
        <w:jc w:val="both"/>
        <w:rPr>
          <w:rFonts w:ascii="Times New Roman" w:eastAsiaTheme="minorEastAsia" w:cs="Times New Roman"/>
          <w:b/>
          <w:sz w:val="20"/>
          <w:szCs w:val="20"/>
        </w:rPr>
      </w:pPr>
    </w:p>
    <w:p w:rsidR="00555F71" w:rsidRDefault="00555F71" w:rsidP="00424E6F">
      <w:pPr>
        <w:pStyle w:val="Default"/>
        <w:spacing w:line="360" w:lineRule="auto"/>
        <w:jc w:val="both"/>
        <w:rPr>
          <w:rFonts w:ascii="Times New Roman" w:eastAsiaTheme="minorEastAsia" w:cs="Times New Roman"/>
          <w:b/>
          <w:sz w:val="20"/>
          <w:szCs w:val="20"/>
        </w:rPr>
      </w:pPr>
    </w:p>
    <w:p w:rsidR="00CC5E23" w:rsidRPr="00CC5E23" w:rsidRDefault="00CC5E23" w:rsidP="00CC5E23">
      <w:pPr>
        <w:pStyle w:val="Default"/>
        <w:spacing w:line="360" w:lineRule="auto"/>
        <w:ind w:firstLineChars="196" w:firstLine="413"/>
        <w:jc w:val="both"/>
        <w:rPr>
          <w:rFonts w:ascii="Times New Roman" w:eastAsiaTheme="minorEastAsia" w:cs="Times New Roman"/>
          <w:b/>
          <w:sz w:val="21"/>
          <w:szCs w:val="21"/>
        </w:rPr>
      </w:pPr>
      <w:r w:rsidRPr="00CC5E23">
        <w:rPr>
          <w:rFonts w:ascii="Times New Roman" w:eastAsiaTheme="minorEastAsia" w:hAnsiTheme="minorEastAsia" w:cs="Times New Roman" w:hint="eastAsia"/>
          <w:b/>
          <w:sz w:val="21"/>
          <w:szCs w:val="21"/>
        </w:rPr>
        <w:lastRenderedPageBreak/>
        <w:t>二、业绩情况概览</w:t>
      </w:r>
    </w:p>
    <w:p w:rsidR="00F154AC" w:rsidRPr="001F0A72" w:rsidRDefault="00CC5E23" w:rsidP="00F154AC">
      <w:pPr>
        <w:spacing w:line="360" w:lineRule="auto"/>
        <w:jc w:val="right"/>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1F0A72" w:rsidTr="009C62B9">
        <w:trPr>
          <w:trHeight w:val="283"/>
          <w:jc w:val="center"/>
        </w:trPr>
        <w:tc>
          <w:tcPr>
            <w:tcW w:w="228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资产评估日</w:t>
            </w:r>
          </w:p>
        </w:tc>
        <w:tc>
          <w:tcPr>
            <w:tcW w:w="611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国华</w:t>
            </w:r>
            <w:r w:rsidR="004E4A68">
              <w:rPr>
                <w:rFonts w:ascii="Times New Roman" w:eastAsiaTheme="minorEastAsia" w:hAnsiTheme="minorEastAsia" w:hint="eastAsia"/>
                <w:color w:val="000000"/>
                <w:sz w:val="21"/>
                <w:szCs w:val="21"/>
                <w:lang w:val="en-US"/>
              </w:rPr>
              <w:t>稳健</w:t>
            </w:r>
            <w:r w:rsidRPr="00CC5E23">
              <w:rPr>
                <w:rFonts w:ascii="Times New Roman" w:eastAsiaTheme="minorEastAsia" w:hAnsiTheme="minorEastAsia" w:hint="eastAsia"/>
                <w:color w:val="000000"/>
                <w:sz w:val="21"/>
                <w:szCs w:val="21"/>
                <w:lang w:val="en-US"/>
              </w:rPr>
              <w:t>型投资账户卖出价格</w:t>
            </w:r>
          </w:p>
        </w:tc>
      </w:tr>
      <w:tr w:rsidR="00555F71" w:rsidRPr="001F0A72" w:rsidTr="009C62B9">
        <w:trPr>
          <w:trHeight w:val="299"/>
          <w:jc w:val="center"/>
        </w:trPr>
        <w:tc>
          <w:tcPr>
            <w:tcW w:w="2283" w:type="dxa"/>
            <w:shd w:val="clear" w:color="auto" w:fill="auto"/>
            <w:noWrap/>
            <w:vAlign w:val="center"/>
            <w:hideMark/>
          </w:tcPr>
          <w:p w:rsidR="00555F71" w:rsidRPr="00CC5E23" w:rsidRDefault="00555F71" w:rsidP="00B249D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2014-5-29</w:t>
            </w:r>
          </w:p>
        </w:tc>
        <w:tc>
          <w:tcPr>
            <w:tcW w:w="6113" w:type="dxa"/>
            <w:shd w:val="clear" w:color="auto" w:fill="auto"/>
            <w:noWrap/>
            <w:vAlign w:val="center"/>
            <w:hideMark/>
          </w:tcPr>
          <w:p w:rsidR="00555F71" w:rsidRPr="00CC5E23" w:rsidRDefault="00881C7F" w:rsidP="0080372A">
            <w:pPr>
              <w:jc w:val="center"/>
              <w:rPr>
                <w:rFonts w:ascii="Times New Roman" w:eastAsiaTheme="minorEastAsia" w:hAnsi="Times New Roman"/>
                <w:color w:val="000000"/>
                <w:sz w:val="21"/>
                <w:szCs w:val="21"/>
                <w:lang w:val="en-US"/>
              </w:rPr>
            </w:pPr>
            <w:r w:rsidRPr="00881C7F">
              <w:rPr>
                <w:rFonts w:ascii="Times New Roman" w:eastAsiaTheme="minorEastAsia" w:hAnsi="Times New Roman"/>
                <w:color w:val="000000"/>
                <w:sz w:val="21"/>
                <w:szCs w:val="21"/>
                <w:lang w:val="en-US"/>
              </w:rPr>
              <w:t>1.00019177</w:t>
            </w:r>
          </w:p>
        </w:tc>
      </w:tr>
      <w:tr w:rsidR="0080372A" w:rsidRPr="001F0A72" w:rsidTr="009C62B9">
        <w:trPr>
          <w:trHeight w:val="299"/>
          <w:jc w:val="center"/>
        </w:trPr>
        <w:tc>
          <w:tcPr>
            <w:tcW w:w="2283" w:type="dxa"/>
            <w:shd w:val="clear" w:color="auto" w:fill="auto"/>
            <w:noWrap/>
            <w:vAlign w:val="center"/>
            <w:hideMark/>
          </w:tcPr>
          <w:p w:rsidR="0080372A" w:rsidRPr="001F0A72" w:rsidRDefault="0080372A"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2014-6-30</w:t>
            </w:r>
          </w:p>
        </w:tc>
        <w:tc>
          <w:tcPr>
            <w:tcW w:w="6113" w:type="dxa"/>
            <w:shd w:val="clear" w:color="auto" w:fill="auto"/>
            <w:noWrap/>
            <w:vAlign w:val="center"/>
            <w:hideMark/>
          </w:tcPr>
          <w:p w:rsidR="0080372A" w:rsidRPr="001F0A72" w:rsidRDefault="0080372A" w:rsidP="0080372A">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0648498</w:t>
            </w:r>
          </w:p>
        </w:tc>
      </w:tr>
      <w:tr w:rsidR="0080372A" w:rsidRPr="001F0A72" w:rsidTr="009C62B9">
        <w:trPr>
          <w:trHeight w:val="299"/>
          <w:jc w:val="center"/>
        </w:trPr>
        <w:tc>
          <w:tcPr>
            <w:tcW w:w="2283" w:type="dxa"/>
            <w:shd w:val="clear" w:color="auto" w:fill="auto"/>
            <w:noWrap/>
            <w:vAlign w:val="center"/>
            <w:hideMark/>
          </w:tcPr>
          <w:p w:rsidR="0080372A" w:rsidRPr="001F0A72" w:rsidRDefault="0080372A"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2014-9-30</w:t>
            </w:r>
          </w:p>
        </w:tc>
        <w:tc>
          <w:tcPr>
            <w:tcW w:w="6113" w:type="dxa"/>
            <w:shd w:val="clear" w:color="auto" w:fill="auto"/>
            <w:noWrap/>
            <w:vAlign w:val="center"/>
            <w:hideMark/>
          </w:tcPr>
          <w:p w:rsidR="0080372A" w:rsidRPr="001F0A72" w:rsidRDefault="0080372A" w:rsidP="0080372A">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2519423</w:t>
            </w:r>
          </w:p>
        </w:tc>
      </w:tr>
      <w:tr w:rsidR="00DE3DC8" w:rsidRPr="001F0A72" w:rsidTr="009C62B9">
        <w:trPr>
          <w:trHeight w:val="299"/>
          <w:jc w:val="center"/>
        </w:trPr>
        <w:tc>
          <w:tcPr>
            <w:tcW w:w="2283" w:type="dxa"/>
            <w:shd w:val="clear" w:color="auto" w:fill="auto"/>
            <w:noWrap/>
            <w:vAlign w:val="center"/>
            <w:hideMark/>
          </w:tcPr>
          <w:p w:rsidR="00DE3DC8" w:rsidRPr="00CC5E23" w:rsidRDefault="00DE3DC8" w:rsidP="00B249D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2014-12-31</w:t>
            </w:r>
          </w:p>
        </w:tc>
        <w:tc>
          <w:tcPr>
            <w:tcW w:w="6113" w:type="dxa"/>
            <w:shd w:val="clear" w:color="auto" w:fill="auto"/>
            <w:noWrap/>
            <w:vAlign w:val="center"/>
            <w:hideMark/>
          </w:tcPr>
          <w:p w:rsidR="00DE3DC8" w:rsidRPr="00CC5E23" w:rsidRDefault="00DE3DC8" w:rsidP="0080372A">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1.04421850</w:t>
            </w:r>
          </w:p>
        </w:tc>
      </w:tr>
      <w:tr w:rsidR="00B868C5" w:rsidRPr="001F0A72" w:rsidTr="00DD50D8">
        <w:trPr>
          <w:trHeight w:val="299"/>
          <w:jc w:val="center"/>
        </w:trPr>
        <w:tc>
          <w:tcPr>
            <w:tcW w:w="2283" w:type="dxa"/>
            <w:shd w:val="clear" w:color="auto" w:fill="auto"/>
            <w:noWrap/>
            <w:vAlign w:val="bottom"/>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2015-3-31</w:t>
            </w:r>
          </w:p>
        </w:tc>
        <w:tc>
          <w:tcPr>
            <w:tcW w:w="6113" w:type="dxa"/>
            <w:shd w:val="clear" w:color="auto" w:fill="auto"/>
            <w:noWrap/>
            <w:vAlign w:val="center"/>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1.06271261</w:t>
            </w:r>
          </w:p>
        </w:tc>
      </w:tr>
      <w:tr w:rsidR="00B868C5" w:rsidRPr="001F0A72" w:rsidTr="00DD50D8">
        <w:trPr>
          <w:trHeight w:val="299"/>
          <w:jc w:val="center"/>
        </w:trPr>
        <w:tc>
          <w:tcPr>
            <w:tcW w:w="2283" w:type="dxa"/>
            <w:shd w:val="clear" w:color="auto" w:fill="auto"/>
            <w:noWrap/>
            <w:vAlign w:val="bottom"/>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2015-6-30</w:t>
            </w:r>
          </w:p>
        </w:tc>
        <w:tc>
          <w:tcPr>
            <w:tcW w:w="6113" w:type="dxa"/>
            <w:shd w:val="clear" w:color="auto" w:fill="auto"/>
            <w:noWrap/>
            <w:vAlign w:val="center"/>
            <w:hideMark/>
          </w:tcPr>
          <w:p w:rsidR="00B868C5" w:rsidRPr="00B868C5" w:rsidRDefault="00B868C5"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1.08122791</w:t>
            </w:r>
          </w:p>
        </w:tc>
      </w:tr>
      <w:tr w:rsidR="00CD2F82" w:rsidRPr="001F0A72" w:rsidTr="00DD50D8">
        <w:trPr>
          <w:trHeight w:val="299"/>
          <w:jc w:val="center"/>
        </w:trPr>
        <w:tc>
          <w:tcPr>
            <w:tcW w:w="2283" w:type="dxa"/>
            <w:shd w:val="clear" w:color="auto" w:fill="auto"/>
            <w:noWrap/>
            <w:vAlign w:val="bottom"/>
            <w:hideMark/>
          </w:tcPr>
          <w:p w:rsidR="00CD2F82" w:rsidRPr="00B868C5" w:rsidRDefault="00CD2F82" w:rsidP="00CD2F82">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2015-9-30</w:t>
            </w:r>
          </w:p>
        </w:tc>
        <w:tc>
          <w:tcPr>
            <w:tcW w:w="6113" w:type="dxa"/>
            <w:shd w:val="clear" w:color="auto" w:fill="auto"/>
            <w:noWrap/>
            <w:vAlign w:val="center"/>
            <w:hideMark/>
          </w:tcPr>
          <w:p w:rsidR="00CD2F82" w:rsidRPr="00B868C5" w:rsidRDefault="00CD2F82" w:rsidP="00B868C5">
            <w:pPr>
              <w:jc w:val="center"/>
              <w:rPr>
                <w:rFonts w:ascii="Times New Roman" w:eastAsiaTheme="minorEastAsia" w:hAnsi="Times New Roman"/>
                <w:color w:val="000000"/>
                <w:sz w:val="21"/>
                <w:szCs w:val="21"/>
                <w:lang w:val="en-US"/>
              </w:rPr>
            </w:pPr>
            <w:r>
              <w:rPr>
                <w:rFonts w:ascii="Times New Roman" w:hAnsi="Times New Roman"/>
                <w:sz w:val="21"/>
                <w:szCs w:val="21"/>
                <w:lang w:val="en-US"/>
              </w:rPr>
              <w:t>1.10000795</w:t>
            </w:r>
          </w:p>
        </w:tc>
      </w:tr>
      <w:tr w:rsidR="00CD2F82" w:rsidRPr="001F0A72" w:rsidTr="00DD50D8">
        <w:trPr>
          <w:trHeight w:val="299"/>
          <w:jc w:val="center"/>
        </w:trPr>
        <w:tc>
          <w:tcPr>
            <w:tcW w:w="2283" w:type="dxa"/>
            <w:shd w:val="clear" w:color="auto" w:fill="auto"/>
            <w:noWrap/>
            <w:vAlign w:val="bottom"/>
            <w:hideMark/>
          </w:tcPr>
          <w:p w:rsidR="00CD2F82" w:rsidRPr="00B868C5" w:rsidRDefault="00CD2F82" w:rsidP="00B868C5">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2015-12-31</w:t>
            </w:r>
          </w:p>
        </w:tc>
        <w:tc>
          <w:tcPr>
            <w:tcW w:w="6113" w:type="dxa"/>
            <w:shd w:val="clear" w:color="auto" w:fill="auto"/>
            <w:noWrap/>
            <w:vAlign w:val="center"/>
            <w:hideMark/>
          </w:tcPr>
          <w:p w:rsidR="00CD2F82" w:rsidRPr="00B868C5" w:rsidRDefault="00CD2F82" w:rsidP="00B868C5">
            <w:pPr>
              <w:jc w:val="center"/>
              <w:rPr>
                <w:rFonts w:ascii="Times New Roman" w:eastAsiaTheme="minorEastAsia" w:hAnsi="Times New Roman"/>
                <w:color w:val="000000"/>
                <w:sz w:val="21"/>
                <w:szCs w:val="21"/>
                <w:lang w:val="en-US"/>
              </w:rPr>
            </w:pPr>
            <w:r>
              <w:rPr>
                <w:rFonts w:ascii="Times New Roman" w:hAnsi="Times New Roman"/>
                <w:sz w:val="21"/>
                <w:szCs w:val="21"/>
                <w:lang w:val="en-US"/>
              </w:rPr>
              <w:t>1.11986210</w:t>
            </w:r>
          </w:p>
        </w:tc>
      </w:tr>
      <w:tr w:rsidR="00CD2F82" w:rsidRPr="001F0A72" w:rsidTr="00DD50D8">
        <w:trPr>
          <w:trHeight w:val="299"/>
          <w:jc w:val="center"/>
        </w:trPr>
        <w:tc>
          <w:tcPr>
            <w:tcW w:w="2283" w:type="dxa"/>
            <w:shd w:val="clear" w:color="auto" w:fill="auto"/>
            <w:noWrap/>
            <w:vAlign w:val="bottom"/>
            <w:hideMark/>
          </w:tcPr>
          <w:p w:rsidR="00CD2F82" w:rsidRPr="00B868C5" w:rsidRDefault="00AF0CF6"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w:t>
            </w:r>
            <w:r>
              <w:rPr>
                <w:rFonts w:ascii="Times New Roman" w:eastAsiaTheme="minorEastAsia" w:hAnsi="Times New Roman" w:hint="eastAsia"/>
                <w:color w:val="000000"/>
                <w:sz w:val="21"/>
                <w:szCs w:val="21"/>
                <w:lang w:val="en-US"/>
              </w:rPr>
              <w:t>6</w:t>
            </w:r>
            <w:r w:rsidRPr="00B868C5">
              <w:rPr>
                <w:rFonts w:ascii="Times New Roman" w:eastAsiaTheme="minorEastAsia" w:hAnsi="Times New Roman" w:hint="eastAsia"/>
                <w:color w:val="000000"/>
                <w:sz w:val="21"/>
                <w:szCs w:val="21"/>
                <w:lang w:val="en-US"/>
              </w:rPr>
              <w:t>-3-31</w:t>
            </w:r>
          </w:p>
        </w:tc>
        <w:tc>
          <w:tcPr>
            <w:tcW w:w="6113" w:type="dxa"/>
            <w:shd w:val="clear" w:color="auto" w:fill="auto"/>
            <w:noWrap/>
            <w:vAlign w:val="center"/>
            <w:hideMark/>
          </w:tcPr>
          <w:p w:rsidR="00CD2F82" w:rsidRPr="00AF0CF6" w:rsidRDefault="00AF0CF6" w:rsidP="00AF0CF6">
            <w:pPr>
              <w:jc w:val="center"/>
              <w:rPr>
                <w:rFonts w:ascii="Times New Roman" w:hAnsi="Times New Roman"/>
                <w:sz w:val="21"/>
                <w:szCs w:val="21"/>
                <w:lang w:val="en-US"/>
              </w:rPr>
            </w:pPr>
            <w:r w:rsidRPr="00AF0CF6">
              <w:rPr>
                <w:rFonts w:ascii="Times New Roman" w:hAnsi="Times New Roman" w:hint="eastAsia"/>
                <w:sz w:val="21"/>
                <w:szCs w:val="21"/>
                <w:lang w:val="en-US"/>
              </w:rPr>
              <w:t>1.14049924</w:t>
            </w:r>
          </w:p>
        </w:tc>
      </w:tr>
      <w:tr w:rsidR="00CD2F82" w:rsidRPr="001F0A72" w:rsidTr="00DD50D8">
        <w:trPr>
          <w:trHeight w:val="299"/>
          <w:jc w:val="center"/>
        </w:trPr>
        <w:tc>
          <w:tcPr>
            <w:tcW w:w="2283" w:type="dxa"/>
            <w:shd w:val="clear" w:color="auto" w:fill="auto"/>
            <w:noWrap/>
            <w:vAlign w:val="bottom"/>
            <w:hideMark/>
          </w:tcPr>
          <w:p w:rsidR="00CD2F82" w:rsidRPr="00B868C5" w:rsidRDefault="00AF0CF6" w:rsidP="00B868C5">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w:t>
            </w:r>
            <w:r>
              <w:rPr>
                <w:rFonts w:ascii="Times New Roman" w:eastAsiaTheme="minorEastAsia" w:hAnsi="Times New Roman" w:hint="eastAsia"/>
                <w:color w:val="000000"/>
                <w:sz w:val="21"/>
                <w:szCs w:val="21"/>
                <w:lang w:val="en-US"/>
              </w:rPr>
              <w:t>6</w:t>
            </w:r>
            <w:r w:rsidRPr="00B868C5">
              <w:rPr>
                <w:rFonts w:ascii="Times New Roman" w:eastAsiaTheme="minorEastAsia" w:hAnsi="Times New Roman" w:hint="eastAsia"/>
                <w:color w:val="000000"/>
                <w:sz w:val="21"/>
                <w:szCs w:val="21"/>
                <w:lang w:val="en-US"/>
              </w:rPr>
              <w:t>-</w:t>
            </w:r>
            <w:r>
              <w:rPr>
                <w:rFonts w:ascii="Times New Roman" w:eastAsiaTheme="minorEastAsia" w:hAnsi="Times New Roman" w:hint="eastAsia"/>
                <w:color w:val="000000"/>
                <w:sz w:val="21"/>
                <w:szCs w:val="21"/>
                <w:lang w:val="en-US"/>
              </w:rPr>
              <w:t>6</w:t>
            </w:r>
            <w:r w:rsidRPr="00B868C5">
              <w:rPr>
                <w:rFonts w:ascii="Times New Roman" w:eastAsiaTheme="minorEastAsia" w:hAnsi="Times New Roman" w:hint="eastAsia"/>
                <w:color w:val="000000"/>
                <w:sz w:val="21"/>
                <w:szCs w:val="21"/>
                <w:lang w:val="en-US"/>
              </w:rPr>
              <w:t>-3</w:t>
            </w:r>
            <w:r>
              <w:rPr>
                <w:rFonts w:ascii="Times New Roman" w:eastAsiaTheme="minorEastAsia" w:hAnsi="Times New Roman" w:hint="eastAsia"/>
                <w:color w:val="000000"/>
                <w:sz w:val="21"/>
                <w:szCs w:val="21"/>
                <w:lang w:val="en-US"/>
              </w:rPr>
              <w:t>0</w:t>
            </w:r>
          </w:p>
        </w:tc>
        <w:tc>
          <w:tcPr>
            <w:tcW w:w="6113" w:type="dxa"/>
            <w:shd w:val="clear" w:color="auto" w:fill="auto"/>
            <w:noWrap/>
            <w:vAlign w:val="center"/>
            <w:hideMark/>
          </w:tcPr>
          <w:p w:rsidR="00CD2F82" w:rsidRPr="00324143" w:rsidRDefault="00324143" w:rsidP="00324143">
            <w:pPr>
              <w:jc w:val="center"/>
              <w:rPr>
                <w:rFonts w:ascii="Times New Roman" w:hAnsi="Times New Roman"/>
                <w:sz w:val="21"/>
                <w:szCs w:val="21"/>
                <w:lang w:val="en-US"/>
              </w:rPr>
            </w:pPr>
            <w:r w:rsidRPr="00324143">
              <w:rPr>
                <w:rFonts w:ascii="Times New Roman" w:hAnsi="Times New Roman" w:hint="eastAsia"/>
                <w:sz w:val="21"/>
                <w:szCs w:val="21"/>
                <w:lang w:val="en-US"/>
              </w:rPr>
              <w:t>1.14367954</w:t>
            </w:r>
          </w:p>
        </w:tc>
      </w:tr>
    </w:tbl>
    <w:p w:rsidR="00DD739D" w:rsidRDefault="007655D7">
      <w:pPr>
        <w:pStyle w:val="Default"/>
        <w:spacing w:line="360" w:lineRule="auto"/>
        <w:contextualSpacing/>
        <w:rPr>
          <w:rFonts w:ascii="Times New Roman" w:eastAsiaTheme="minorEastAsia" w:cs="Times New Roman"/>
          <w:sz w:val="21"/>
          <w:szCs w:val="21"/>
        </w:rPr>
      </w:pPr>
      <w:r>
        <w:rPr>
          <w:rFonts w:ascii="Times New Roman" w:eastAsiaTheme="minorEastAsia" w:hAnsiTheme="minorEastAsia" w:cs="Times New Roman" w:hint="eastAsia"/>
          <w:sz w:val="21"/>
          <w:szCs w:val="21"/>
        </w:rPr>
        <w:t xml:space="preserve">    </w:t>
      </w:r>
      <w:r w:rsidR="00CC5E23" w:rsidRPr="00CC5E23">
        <w:rPr>
          <w:rFonts w:ascii="Times New Roman" w:eastAsiaTheme="minorEastAsia" w:hAnsiTheme="minorEastAsia" w:cs="Times New Roman" w:hint="eastAsia"/>
          <w:sz w:val="21"/>
          <w:szCs w:val="21"/>
        </w:rPr>
        <w:t>国华</w:t>
      </w:r>
      <w:r w:rsidR="004E4A68">
        <w:rPr>
          <w:rFonts w:ascii="Times New Roman" w:eastAsiaTheme="minorEastAsia" w:hAnsiTheme="minorEastAsia" w:cs="Times New Roman" w:hint="eastAsia"/>
          <w:sz w:val="21"/>
          <w:szCs w:val="21"/>
        </w:rPr>
        <w:t>稳健</w:t>
      </w:r>
      <w:r w:rsidR="00CC5E23" w:rsidRPr="00CC5E23">
        <w:rPr>
          <w:rFonts w:ascii="Times New Roman" w:eastAsiaTheme="minorEastAsia" w:hAnsiTheme="minorEastAsia" w:cs="Times New Roman" w:hint="eastAsia"/>
          <w:sz w:val="21"/>
          <w:szCs w:val="21"/>
        </w:rPr>
        <w:t>型投资账户的买入价等于卖出价。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1F0A72" w:rsidTr="009C62B9">
        <w:trPr>
          <w:trHeight w:val="279"/>
        </w:trPr>
        <w:tc>
          <w:tcPr>
            <w:tcW w:w="2275"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期间</w:t>
            </w:r>
          </w:p>
        </w:tc>
        <w:tc>
          <w:tcPr>
            <w:tcW w:w="6092"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净值增长率（年化）</w:t>
            </w:r>
          </w:p>
        </w:tc>
      </w:tr>
      <w:tr w:rsidR="006374F3" w:rsidRPr="001F0A72" w:rsidTr="009C62B9">
        <w:trPr>
          <w:trHeight w:val="294"/>
        </w:trPr>
        <w:tc>
          <w:tcPr>
            <w:tcW w:w="2275" w:type="dxa"/>
            <w:shd w:val="clear" w:color="auto" w:fill="auto"/>
            <w:noWrap/>
            <w:vAlign w:val="center"/>
            <w:hideMark/>
          </w:tcPr>
          <w:p w:rsidR="006374F3" w:rsidRPr="001F0A72" w:rsidRDefault="006374F3" w:rsidP="000E6389">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rPr>
              <w:t>2014-06</w:t>
            </w:r>
          </w:p>
        </w:tc>
        <w:tc>
          <w:tcPr>
            <w:tcW w:w="6092" w:type="dxa"/>
            <w:shd w:val="clear" w:color="auto" w:fill="auto"/>
            <w:noWrap/>
            <w:vAlign w:val="center"/>
            <w:hideMark/>
          </w:tcPr>
          <w:p w:rsidR="006374F3" w:rsidRPr="006374F3" w:rsidRDefault="00881C7F" w:rsidP="005C75AB">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6.96</w:t>
            </w:r>
            <w:r w:rsidR="006374F3" w:rsidRPr="006374F3">
              <w:rPr>
                <w:rFonts w:ascii="Times New Roman" w:eastAsiaTheme="minorEastAsia" w:hAnsi="Times New Roman" w:hint="eastAsia"/>
                <w:color w:val="000000"/>
                <w:sz w:val="21"/>
                <w:szCs w:val="21"/>
                <w:lang w:val="en-US"/>
              </w:rPr>
              <w:t>%</w:t>
            </w:r>
          </w:p>
        </w:tc>
      </w:tr>
      <w:tr w:rsidR="006374F3" w:rsidRPr="001F0A72" w:rsidTr="009C62B9">
        <w:trPr>
          <w:trHeight w:val="294"/>
        </w:trPr>
        <w:tc>
          <w:tcPr>
            <w:tcW w:w="2275" w:type="dxa"/>
            <w:shd w:val="clear" w:color="auto" w:fill="auto"/>
            <w:noWrap/>
            <w:vAlign w:val="center"/>
            <w:hideMark/>
          </w:tcPr>
          <w:p w:rsidR="006374F3" w:rsidRPr="001F0A72" w:rsidRDefault="006374F3" w:rsidP="000E6389">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2014-09</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7.37%</w:t>
            </w:r>
          </w:p>
        </w:tc>
      </w:tr>
      <w:tr w:rsidR="006374F3" w:rsidRPr="001F0A72" w:rsidTr="009C62B9">
        <w:trPr>
          <w:trHeight w:val="294"/>
        </w:trPr>
        <w:tc>
          <w:tcPr>
            <w:tcW w:w="2275" w:type="dxa"/>
            <w:shd w:val="clear" w:color="auto" w:fill="auto"/>
            <w:noWrap/>
            <w:vAlign w:val="center"/>
            <w:hideMark/>
          </w:tcPr>
          <w:p w:rsidR="006374F3" w:rsidRPr="00CC5E23" w:rsidRDefault="006374F3"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2014-12</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7.36%</w:t>
            </w:r>
          </w:p>
        </w:tc>
      </w:tr>
      <w:tr w:rsidR="006374F3" w:rsidRPr="001F0A72" w:rsidTr="009C62B9">
        <w:trPr>
          <w:trHeight w:val="294"/>
        </w:trPr>
        <w:tc>
          <w:tcPr>
            <w:tcW w:w="2275" w:type="dxa"/>
            <w:shd w:val="clear" w:color="auto" w:fill="auto"/>
            <w:noWrap/>
            <w:vAlign w:val="center"/>
            <w:hideMark/>
          </w:tcPr>
          <w:p w:rsidR="006374F3" w:rsidRDefault="006374F3"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2015-03</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7.18%</w:t>
            </w:r>
          </w:p>
        </w:tc>
      </w:tr>
      <w:tr w:rsidR="006374F3" w:rsidRPr="001F0A72" w:rsidTr="009C62B9">
        <w:trPr>
          <w:trHeight w:val="294"/>
        </w:trPr>
        <w:tc>
          <w:tcPr>
            <w:tcW w:w="2275" w:type="dxa"/>
            <w:shd w:val="clear" w:color="auto" w:fill="auto"/>
            <w:noWrap/>
            <w:vAlign w:val="center"/>
            <w:hideMark/>
          </w:tcPr>
          <w:p w:rsidR="006374F3" w:rsidRDefault="006374F3"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2015-06</w:t>
            </w:r>
          </w:p>
        </w:tc>
        <w:tc>
          <w:tcPr>
            <w:tcW w:w="6092" w:type="dxa"/>
            <w:shd w:val="clear" w:color="auto" w:fill="auto"/>
            <w:noWrap/>
            <w:vAlign w:val="center"/>
            <w:hideMark/>
          </w:tcPr>
          <w:p w:rsidR="006374F3" w:rsidRPr="006374F3" w:rsidRDefault="006374F3" w:rsidP="006374F3">
            <w:pPr>
              <w:jc w:val="center"/>
              <w:rPr>
                <w:rFonts w:ascii="Times New Roman" w:eastAsiaTheme="minorEastAsia" w:hAnsi="Times New Roman"/>
                <w:color w:val="000000"/>
                <w:sz w:val="21"/>
                <w:szCs w:val="21"/>
                <w:lang w:val="en-US"/>
              </w:rPr>
            </w:pPr>
            <w:r w:rsidRPr="006374F3">
              <w:rPr>
                <w:rFonts w:ascii="Times New Roman" w:eastAsiaTheme="minorEastAsia" w:hAnsi="Times New Roman" w:hint="eastAsia"/>
                <w:color w:val="000000"/>
                <w:sz w:val="21"/>
                <w:szCs w:val="21"/>
                <w:lang w:val="en-US"/>
              </w:rPr>
              <w:t>6.99%</w:t>
            </w:r>
          </w:p>
        </w:tc>
      </w:tr>
      <w:tr w:rsidR="00CD2F82" w:rsidRPr="001F0A72" w:rsidTr="009C62B9">
        <w:trPr>
          <w:trHeight w:val="294"/>
        </w:trPr>
        <w:tc>
          <w:tcPr>
            <w:tcW w:w="2275" w:type="dxa"/>
            <w:shd w:val="clear" w:color="auto" w:fill="auto"/>
            <w:noWrap/>
            <w:vAlign w:val="center"/>
            <w:hideMark/>
          </w:tcPr>
          <w:p w:rsidR="00CD2F82" w:rsidRDefault="00CD2F82" w:rsidP="000E6389">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2015-09</w:t>
            </w:r>
          </w:p>
        </w:tc>
        <w:tc>
          <w:tcPr>
            <w:tcW w:w="6092" w:type="dxa"/>
            <w:shd w:val="clear" w:color="auto" w:fill="auto"/>
            <w:noWrap/>
            <w:vAlign w:val="center"/>
            <w:hideMark/>
          </w:tcPr>
          <w:p w:rsidR="00CD2F82" w:rsidRPr="006374F3" w:rsidRDefault="00CD2F82" w:rsidP="006374F3">
            <w:pPr>
              <w:jc w:val="center"/>
              <w:rPr>
                <w:rFonts w:ascii="Times New Roman" w:eastAsiaTheme="minorEastAsia" w:hAnsi="Times New Roman"/>
                <w:color w:val="000000"/>
                <w:sz w:val="21"/>
                <w:szCs w:val="21"/>
                <w:lang w:val="en-US"/>
              </w:rPr>
            </w:pPr>
            <w:r>
              <w:rPr>
                <w:rFonts w:ascii="Times New Roman" w:hAnsi="Times New Roman"/>
                <w:sz w:val="21"/>
                <w:szCs w:val="21"/>
                <w:lang w:val="en-US"/>
              </w:rPr>
              <w:t>6.89%</w:t>
            </w:r>
          </w:p>
        </w:tc>
      </w:tr>
      <w:tr w:rsidR="00CD2F82" w:rsidRPr="001F0A72" w:rsidTr="009C62B9">
        <w:trPr>
          <w:trHeight w:val="294"/>
        </w:trPr>
        <w:tc>
          <w:tcPr>
            <w:tcW w:w="2275" w:type="dxa"/>
            <w:shd w:val="clear" w:color="auto" w:fill="auto"/>
            <w:noWrap/>
            <w:vAlign w:val="center"/>
            <w:hideMark/>
          </w:tcPr>
          <w:p w:rsidR="00CD2F82" w:rsidRDefault="00CD2F82" w:rsidP="000E6389">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2015-12</w:t>
            </w:r>
          </w:p>
        </w:tc>
        <w:tc>
          <w:tcPr>
            <w:tcW w:w="6092" w:type="dxa"/>
            <w:shd w:val="clear" w:color="auto" w:fill="auto"/>
            <w:noWrap/>
            <w:vAlign w:val="center"/>
            <w:hideMark/>
          </w:tcPr>
          <w:p w:rsidR="00CD2F82" w:rsidRPr="006374F3" w:rsidRDefault="00CD2F82" w:rsidP="006374F3">
            <w:pPr>
              <w:jc w:val="center"/>
              <w:rPr>
                <w:rFonts w:ascii="Times New Roman" w:eastAsiaTheme="minorEastAsia" w:hAnsi="Times New Roman"/>
                <w:color w:val="000000"/>
                <w:sz w:val="21"/>
                <w:szCs w:val="21"/>
                <w:lang w:val="en-US"/>
              </w:rPr>
            </w:pPr>
            <w:r>
              <w:rPr>
                <w:rFonts w:ascii="Times New Roman" w:hAnsi="Times New Roman"/>
                <w:sz w:val="21"/>
                <w:szCs w:val="21"/>
                <w:lang w:val="en-US"/>
              </w:rPr>
              <w:t>7.16%</w:t>
            </w:r>
          </w:p>
        </w:tc>
      </w:tr>
      <w:tr w:rsidR="00CD2F82" w:rsidRPr="001F0A72" w:rsidTr="009C62B9">
        <w:trPr>
          <w:trHeight w:val="294"/>
        </w:trPr>
        <w:tc>
          <w:tcPr>
            <w:tcW w:w="2275" w:type="dxa"/>
            <w:shd w:val="clear" w:color="auto" w:fill="auto"/>
            <w:noWrap/>
            <w:vAlign w:val="center"/>
            <w:hideMark/>
          </w:tcPr>
          <w:p w:rsidR="00CD2F82" w:rsidRDefault="00AF0CF6" w:rsidP="00AF0CF6">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w:t>
            </w:r>
            <w:r>
              <w:rPr>
                <w:rFonts w:ascii="Times New Roman" w:eastAsiaTheme="minorEastAsia" w:hAnsi="Times New Roman" w:hint="eastAsia"/>
                <w:color w:val="000000"/>
                <w:sz w:val="21"/>
                <w:szCs w:val="21"/>
                <w:lang w:val="en-US"/>
              </w:rPr>
              <w:t>6</w:t>
            </w:r>
            <w:r w:rsidRPr="00B868C5">
              <w:rPr>
                <w:rFonts w:ascii="Times New Roman" w:eastAsiaTheme="minorEastAsia" w:hAnsi="Times New Roman" w:hint="eastAsia"/>
                <w:color w:val="000000"/>
                <w:sz w:val="21"/>
                <w:szCs w:val="21"/>
                <w:lang w:val="en-US"/>
              </w:rPr>
              <w:t>-</w:t>
            </w:r>
            <w:r w:rsidR="005B391E">
              <w:rPr>
                <w:rFonts w:ascii="Times New Roman" w:eastAsiaTheme="minorEastAsia" w:hAnsi="Times New Roman" w:hint="eastAsia"/>
                <w:color w:val="000000"/>
                <w:sz w:val="21"/>
                <w:szCs w:val="21"/>
                <w:lang w:val="en-US"/>
              </w:rPr>
              <w:t>0</w:t>
            </w:r>
            <w:r w:rsidRPr="00B868C5">
              <w:rPr>
                <w:rFonts w:ascii="Times New Roman" w:eastAsiaTheme="minorEastAsia" w:hAnsi="Times New Roman" w:hint="eastAsia"/>
                <w:color w:val="000000"/>
                <w:sz w:val="21"/>
                <w:szCs w:val="21"/>
                <w:lang w:val="en-US"/>
              </w:rPr>
              <w:t>3</w:t>
            </w:r>
          </w:p>
        </w:tc>
        <w:tc>
          <w:tcPr>
            <w:tcW w:w="6092" w:type="dxa"/>
            <w:shd w:val="clear" w:color="auto" w:fill="auto"/>
            <w:noWrap/>
            <w:vAlign w:val="center"/>
            <w:hideMark/>
          </w:tcPr>
          <w:p w:rsidR="00CD2F82" w:rsidRPr="006374F3" w:rsidRDefault="00AF0CF6" w:rsidP="00AF0CF6">
            <w:pPr>
              <w:jc w:val="center"/>
              <w:rPr>
                <w:rFonts w:ascii="Times New Roman" w:eastAsiaTheme="minorEastAsia" w:hAnsi="Times New Roman"/>
                <w:color w:val="000000"/>
                <w:sz w:val="21"/>
                <w:szCs w:val="21"/>
                <w:lang w:val="en-US"/>
              </w:rPr>
            </w:pPr>
            <w:r>
              <w:rPr>
                <w:rFonts w:ascii="Times New Roman" w:hAnsi="Times New Roman"/>
                <w:color w:val="000000"/>
                <w:sz w:val="21"/>
                <w:szCs w:val="21"/>
              </w:rPr>
              <w:t>7.39%</w:t>
            </w:r>
          </w:p>
        </w:tc>
      </w:tr>
      <w:tr w:rsidR="00CD2F82" w:rsidRPr="001F0A72" w:rsidTr="009C62B9">
        <w:trPr>
          <w:trHeight w:val="294"/>
        </w:trPr>
        <w:tc>
          <w:tcPr>
            <w:tcW w:w="2275" w:type="dxa"/>
            <w:shd w:val="clear" w:color="auto" w:fill="auto"/>
            <w:noWrap/>
            <w:vAlign w:val="center"/>
            <w:hideMark/>
          </w:tcPr>
          <w:p w:rsidR="00CD2F82" w:rsidRDefault="00AF0CF6" w:rsidP="00AF0CF6">
            <w:pPr>
              <w:jc w:val="center"/>
              <w:rPr>
                <w:rFonts w:ascii="Times New Roman" w:eastAsiaTheme="minorEastAsia" w:hAnsi="Times New Roman"/>
                <w:color w:val="000000"/>
                <w:sz w:val="21"/>
                <w:szCs w:val="21"/>
                <w:lang w:val="en-US"/>
              </w:rPr>
            </w:pPr>
            <w:r w:rsidRPr="00B868C5">
              <w:rPr>
                <w:rFonts w:ascii="Times New Roman" w:eastAsiaTheme="minorEastAsia" w:hAnsi="Times New Roman" w:hint="eastAsia"/>
                <w:color w:val="000000"/>
                <w:sz w:val="21"/>
                <w:szCs w:val="21"/>
                <w:lang w:val="en-US"/>
              </w:rPr>
              <w:t>201</w:t>
            </w:r>
            <w:r>
              <w:rPr>
                <w:rFonts w:ascii="Times New Roman" w:eastAsiaTheme="minorEastAsia" w:hAnsi="Times New Roman" w:hint="eastAsia"/>
                <w:color w:val="000000"/>
                <w:sz w:val="21"/>
                <w:szCs w:val="21"/>
                <w:lang w:val="en-US"/>
              </w:rPr>
              <w:t>6</w:t>
            </w:r>
            <w:r w:rsidRPr="00B868C5">
              <w:rPr>
                <w:rFonts w:ascii="Times New Roman" w:eastAsiaTheme="minorEastAsia" w:hAnsi="Times New Roman" w:hint="eastAsia"/>
                <w:color w:val="000000"/>
                <w:sz w:val="21"/>
                <w:szCs w:val="21"/>
                <w:lang w:val="en-US"/>
              </w:rPr>
              <w:t>-</w:t>
            </w:r>
            <w:r w:rsidR="005B391E">
              <w:rPr>
                <w:rFonts w:ascii="Times New Roman" w:eastAsiaTheme="minorEastAsia" w:hAnsi="Times New Roman" w:hint="eastAsia"/>
                <w:color w:val="000000"/>
                <w:sz w:val="21"/>
                <w:szCs w:val="21"/>
                <w:lang w:val="en-US"/>
              </w:rPr>
              <w:t>0</w:t>
            </w:r>
            <w:r>
              <w:rPr>
                <w:rFonts w:ascii="Times New Roman" w:eastAsiaTheme="minorEastAsia" w:hAnsi="Times New Roman" w:hint="eastAsia"/>
                <w:color w:val="000000"/>
                <w:sz w:val="21"/>
                <w:szCs w:val="21"/>
                <w:lang w:val="en-US"/>
              </w:rPr>
              <w:t>6</w:t>
            </w:r>
          </w:p>
        </w:tc>
        <w:tc>
          <w:tcPr>
            <w:tcW w:w="6092" w:type="dxa"/>
            <w:shd w:val="clear" w:color="auto" w:fill="auto"/>
            <w:noWrap/>
            <w:vAlign w:val="center"/>
            <w:hideMark/>
          </w:tcPr>
          <w:p w:rsidR="00CD2F82" w:rsidRPr="006374F3" w:rsidRDefault="00AF0CF6" w:rsidP="00AF0CF6">
            <w:pPr>
              <w:jc w:val="center"/>
              <w:rPr>
                <w:rFonts w:ascii="Times New Roman" w:eastAsiaTheme="minorEastAsia" w:hAnsi="Times New Roman"/>
                <w:color w:val="000000"/>
                <w:sz w:val="21"/>
                <w:szCs w:val="21"/>
                <w:lang w:val="en-US"/>
              </w:rPr>
            </w:pPr>
            <w:r>
              <w:rPr>
                <w:rFonts w:ascii="Times New Roman" w:hAnsi="Times New Roman"/>
                <w:color w:val="000000"/>
                <w:sz w:val="21"/>
                <w:szCs w:val="21"/>
              </w:rPr>
              <w:t>1.12%</w:t>
            </w:r>
          </w:p>
        </w:tc>
      </w:tr>
    </w:tbl>
    <w:p w:rsidR="00B74FE7" w:rsidRDefault="00CC5E23">
      <w:pPr>
        <w:spacing w:line="360" w:lineRule="auto"/>
        <w:jc w:val="both"/>
        <w:rPr>
          <w:rFonts w:ascii="Times New Roman" w:eastAsiaTheme="minorEastAsia" w:hAnsi="Times New Roman"/>
          <w:sz w:val="18"/>
          <w:szCs w:val="18"/>
        </w:rPr>
      </w:pPr>
      <w:r w:rsidRPr="00CC5E23">
        <w:rPr>
          <w:rFonts w:ascii="Times New Roman" w:eastAsiaTheme="minorEastAsia" w:hAnsi="Times New Roman"/>
          <w:sz w:val="18"/>
          <w:szCs w:val="18"/>
        </w:rPr>
        <w:t>*</w:t>
      </w:r>
      <w:r w:rsidR="00D12ACF">
        <w:rPr>
          <w:rFonts w:ascii="Times New Roman" w:eastAsiaTheme="minorEastAsia" w:hAnsiTheme="minorEastAsia" w:hint="eastAsia"/>
          <w:sz w:val="18"/>
          <w:szCs w:val="18"/>
        </w:rPr>
        <w:t>净值增长率（年化）＝（本期期末卖出价</w:t>
      </w:r>
      <w:r w:rsidR="00D12ACF">
        <w:rPr>
          <w:rFonts w:ascii="Times New Roman" w:eastAsiaTheme="minorEastAsia" w:hAnsiTheme="minorEastAsia" w:hint="eastAsia"/>
          <w:sz w:val="18"/>
          <w:szCs w:val="18"/>
        </w:rPr>
        <w:t>-</w:t>
      </w:r>
      <w:r w:rsidRPr="00CC5E23">
        <w:rPr>
          <w:rFonts w:ascii="Times New Roman" w:eastAsiaTheme="minorEastAsia" w:hAnsiTheme="minorEastAsia" w:hint="eastAsia"/>
          <w:sz w:val="18"/>
          <w:szCs w:val="18"/>
        </w:rPr>
        <w:t>上期期末卖出价）</w:t>
      </w:r>
      <w:r w:rsidRPr="00CC5E23">
        <w:rPr>
          <w:rFonts w:ascii="Times New Roman" w:eastAsiaTheme="minorEastAsia" w:hAnsi="Times New Roman"/>
          <w:sz w:val="18"/>
          <w:szCs w:val="18"/>
        </w:rPr>
        <w:t>/</w:t>
      </w:r>
      <w:r w:rsidRPr="00CC5E23">
        <w:rPr>
          <w:rFonts w:ascii="Times New Roman" w:eastAsiaTheme="minorEastAsia" w:hAnsiTheme="minorEastAsia" w:hint="eastAsia"/>
          <w:sz w:val="18"/>
          <w:szCs w:val="18"/>
        </w:rPr>
        <w:t>上期期末卖出价</w:t>
      </w:r>
      <w:r w:rsidR="00C809C3">
        <w:rPr>
          <w:rFonts w:ascii="Times New Roman" w:eastAsiaTheme="minorEastAsia" w:hAnsiTheme="minorEastAsia" w:hint="eastAsia"/>
          <w:sz w:val="18"/>
          <w:szCs w:val="18"/>
        </w:rPr>
        <w:t>/</w:t>
      </w:r>
      <w:r w:rsidR="00C809C3">
        <w:rPr>
          <w:rFonts w:ascii="Times New Roman" w:eastAsiaTheme="minorEastAsia" w:hAnsiTheme="minorEastAsia" w:hint="eastAsia"/>
          <w:sz w:val="18"/>
          <w:szCs w:val="18"/>
        </w:rPr>
        <w:t>持有天数</w:t>
      </w:r>
      <w:r w:rsidR="00C809C3">
        <w:rPr>
          <w:rFonts w:ascii="Times New Roman" w:eastAsiaTheme="minorEastAsia" w:hAnsi="Times New Roman"/>
          <w:sz w:val="18"/>
          <w:szCs w:val="18"/>
        </w:rPr>
        <w:t>*</w:t>
      </w:r>
      <w:r w:rsidR="00C809C3">
        <w:rPr>
          <w:rFonts w:ascii="Times New Roman" w:eastAsiaTheme="minorEastAsia" w:hAnsi="Times New Roman" w:hint="eastAsia"/>
          <w:sz w:val="18"/>
          <w:szCs w:val="18"/>
        </w:rPr>
        <w:t>365</w:t>
      </w:r>
      <w:r w:rsidRPr="00CC5E23">
        <w:rPr>
          <w:rFonts w:ascii="Times New Roman" w:eastAsiaTheme="minorEastAsia" w:hAnsi="Times New Roman"/>
          <w:sz w:val="18"/>
          <w:szCs w:val="18"/>
        </w:rPr>
        <w:t>*100%</w:t>
      </w:r>
    </w:p>
    <w:p w:rsidR="00DD739D" w:rsidRDefault="00CC5E23">
      <w:pPr>
        <w:spacing w:line="360" w:lineRule="auto"/>
        <w:ind w:firstLine="420"/>
        <w:jc w:val="both"/>
        <w:rPr>
          <w:rFonts w:ascii="Times New Roman" w:eastAsiaTheme="minorEastAsia" w:hAnsi="Times New Roman"/>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6</w:t>
      </w:r>
      <w:r w:rsidRPr="00CC5E23">
        <w:rPr>
          <w:rFonts w:ascii="Times New Roman" w:eastAsiaTheme="minorEastAsia" w:hAnsiTheme="minorEastAsia" w:hint="eastAsia"/>
          <w:sz w:val="21"/>
          <w:szCs w:val="21"/>
        </w:rPr>
        <w:t>月：</w:t>
      </w:r>
      <w:r w:rsidR="00555F71">
        <w:rPr>
          <w:rFonts w:ascii="Times New Roman" w:eastAsiaTheme="minorEastAsia" w:hAnsiTheme="minorEastAsia" w:hint="eastAsia"/>
          <w:sz w:val="21"/>
          <w:szCs w:val="21"/>
        </w:rPr>
        <w:t>上</w:t>
      </w:r>
      <w:r w:rsidR="00555F71" w:rsidRPr="00CC5E23">
        <w:rPr>
          <w:rFonts w:ascii="Times New Roman" w:eastAsiaTheme="minorEastAsia" w:hAnsiTheme="minorEastAsia" w:hint="eastAsia"/>
          <w:sz w:val="21"/>
          <w:szCs w:val="21"/>
        </w:rPr>
        <w:t>期期末卖出价为</w:t>
      </w:r>
      <w:r w:rsidR="00293D7C" w:rsidRPr="00CC5E23">
        <w:rPr>
          <w:rFonts w:ascii="Times New Roman" w:eastAsiaTheme="minorEastAsia" w:hAnsi="Times New Roman"/>
          <w:sz w:val="21"/>
          <w:szCs w:val="21"/>
        </w:rPr>
        <w:t>2014</w:t>
      </w:r>
      <w:r w:rsidR="00293D7C" w:rsidRPr="00CC5E23">
        <w:rPr>
          <w:rFonts w:ascii="Times New Roman" w:eastAsiaTheme="minorEastAsia" w:hAnsiTheme="minorEastAsia" w:hint="eastAsia"/>
          <w:sz w:val="21"/>
          <w:szCs w:val="21"/>
        </w:rPr>
        <w:t>年</w:t>
      </w:r>
      <w:r w:rsidR="00293D7C">
        <w:rPr>
          <w:rFonts w:ascii="Times New Roman" w:eastAsiaTheme="minorEastAsia" w:hAnsi="Times New Roman" w:hint="eastAsia"/>
          <w:sz w:val="21"/>
          <w:szCs w:val="21"/>
        </w:rPr>
        <w:t>5</w:t>
      </w:r>
      <w:r w:rsidR="00293D7C" w:rsidRPr="00CC5E23">
        <w:rPr>
          <w:rFonts w:ascii="Times New Roman" w:eastAsiaTheme="minorEastAsia" w:hAnsiTheme="minorEastAsia" w:hint="eastAsia"/>
          <w:sz w:val="21"/>
          <w:szCs w:val="21"/>
        </w:rPr>
        <w:t>月</w:t>
      </w:r>
      <w:r w:rsidR="00293D7C">
        <w:rPr>
          <w:rFonts w:ascii="Times New Roman" w:eastAsiaTheme="minorEastAsia" w:hAnsi="Times New Roman" w:hint="eastAsia"/>
          <w:sz w:val="21"/>
          <w:szCs w:val="21"/>
        </w:rPr>
        <w:t>29</w:t>
      </w:r>
      <w:r w:rsidR="00293D7C" w:rsidRPr="00CC5E23">
        <w:rPr>
          <w:rFonts w:ascii="Times New Roman" w:eastAsiaTheme="minorEastAsia" w:hAnsiTheme="minorEastAsia" w:hint="eastAsia"/>
          <w:sz w:val="21"/>
          <w:szCs w:val="21"/>
        </w:rPr>
        <w:t>日的投资单位卖出价</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6</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30</w:t>
      </w:r>
      <w:r w:rsidRPr="00CC5E23">
        <w:rPr>
          <w:rFonts w:ascii="Times New Roman" w:eastAsiaTheme="minorEastAsia" w:hAnsiTheme="minorEastAsia" w:hint="eastAsia"/>
          <w:sz w:val="21"/>
          <w:szCs w:val="21"/>
        </w:rPr>
        <w:t>日的投资单位卖出价。</w:t>
      </w:r>
    </w:p>
    <w:p w:rsidR="000E6389" w:rsidRDefault="00CC5E23" w:rsidP="00B74FE7">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9</w:t>
      </w:r>
      <w:r w:rsidRPr="00CC5E23">
        <w:rPr>
          <w:rFonts w:ascii="Times New Roman" w:eastAsiaTheme="minorEastAsia" w:hAnsiTheme="minorEastAsia" w:hint="eastAsia"/>
          <w:sz w:val="21"/>
          <w:szCs w:val="21"/>
        </w:rPr>
        <w:t>月：</w:t>
      </w:r>
      <w:bookmarkStart w:id="3" w:name="OLE_LINK48"/>
      <w:bookmarkStart w:id="4" w:name="OLE_LINK49"/>
      <w:bookmarkEnd w:id="3"/>
      <w:bookmarkEnd w:id="4"/>
      <w:r w:rsidRPr="00CC5E23">
        <w:rPr>
          <w:rFonts w:ascii="Times New Roman" w:eastAsiaTheme="minorEastAsia" w:hAnsiTheme="minorEastAsia" w:hint="eastAsia"/>
          <w:sz w:val="21"/>
          <w:szCs w:val="21"/>
        </w:rPr>
        <w:t>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004C684B">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4C684B">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30</w:t>
      </w:r>
      <w:r w:rsidRPr="00CC5E23">
        <w:rPr>
          <w:rFonts w:ascii="Times New Roman" w:eastAsiaTheme="minorEastAsia" w:hAnsiTheme="minorEastAsia" w:hint="eastAsia"/>
          <w:sz w:val="21"/>
          <w:szCs w:val="21"/>
        </w:rPr>
        <w:t>日的投资单位卖出价。</w:t>
      </w:r>
      <w:bookmarkStart w:id="5" w:name="OLE_LINK53"/>
      <w:bookmarkStart w:id="6" w:name="OLE_LINK52"/>
      <w:bookmarkEnd w:id="5"/>
      <w:bookmarkEnd w:id="6"/>
    </w:p>
    <w:p w:rsidR="00B74FE7" w:rsidRDefault="002363AF" w:rsidP="00DE10DE">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004C684B">
        <w:rPr>
          <w:rFonts w:ascii="Times New Roman" w:eastAsiaTheme="minorEastAsia" w:hAnsi="Times New Roman" w:hint="eastAsia"/>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w:t>
      </w:r>
    </w:p>
    <w:p w:rsidR="00337165" w:rsidRPr="00DE10DE" w:rsidRDefault="00337165" w:rsidP="00337165">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月：上期期末卖出价为</w:t>
      </w:r>
      <w:r w:rsidR="00823124" w:rsidRPr="00CC5E23">
        <w:rPr>
          <w:rFonts w:ascii="Times New Roman" w:eastAsiaTheme="minorEastAsia" w:hAnsi="Times New Roman"/>
          <w:sz w:val="21"/>
          <w:szCs w:val="21"/>
        </w:rPr>
        <w:t>201</w:t>
      </w:r>
      <w:r w:rsidR="004C684B">
        <w:rPr>
          <w:rFonts w:ascii="Times New Roman" w:eastAsiaTheme="minorEastAsia" w:hAnsi="Times New Roman" w:hint="eastAsia"/>
          <w:sz w:val="21"/>
          <w:szCs w:val="21"/>
        </w:rPr>
        <w:t>4</w:t>
      </w:r>
      <w:r w:rsidR="00823124" w:rsidRPr="00CC5E23">
        <w:rPr>
          <w:rFonts w:ascii="Times New Roman" w:eastAsiaTheme="minorEastAsia" w:hAnsiTheme="minorEastAsia" w:hint="eastAsia"/>
          <w:sz w:val="21"/>
          <w:szCs w:val="21"/>
        </w:rPr>
        <w:t>年</w:t>
      </w:r>
      <w:r w:rsidR="004C684B">
        <w:rPr>
          <w:rFonts w:ascii="Times New Roman" w:eastAsiaTheme="minorEastAsia" w:hAnsiTheme="minorEastAsia" w:hint="eastAsia"/>
          <w:sz w:val="21"/>
          <w:szCs w:val="21"/>
        </w:rPr>
        <w:t>1</w:t>
      </w:r>
      <w:r w:rsidR="00823124">
        <w:rPr>
          <w:rFonts w:ascii="Times New Roman" w:eastAsiaTheme="minorEastAsia" w:hAnsi="Times New Roman" w:hint="eastAsia"/>
          <w:sz w:val="21"/>
          <w:szCs w:val="21"/>
        </w:rPr>
        <w:t>2</w:t>
      </w:r>
      <w:r w:rsidR="00823124" w:rsidRPr="00CC5E23">
        <w:rPr>
          <w:rFonts w:ascii="Times New Roman" w:eastAsiaTheme="minorEastAsia" w:hAnsiTheme="minorEastAsia" w:hint="eastAsia"/>
          <w:sz w:val="21"/>
          <w:szCs w:val="21"/>
        </w:rPr>
        <w:t>月</w:t>
      </w:r>
      <w:r w:rsidR="004C684B">
        <w:rPr>
          <w:rFonts w:ascii="Times New Roman" w:eastAsiaTheme="minorEastAsia" w:hAnsi="Times New Roman" w:hint="eastAsia"/>
          <w:sz w:val="21"/>
          <w:szCs w:val="21"/>
        </w:rPr>
        <w:t>31</w:t>
      </w:r>
      <w:r w:rsidR="00823124" w:rsidRPr="00CC5E23">
        <w:rPr>
          <w:rFonts w:ascii="Times New Roman" w:eastAsiaTheme="minorEastAsia" w:hAnsiTheme="minorEastAsia" w:hint="eastAsia"/>
          <w:sz w:val="21"/>
          <w:szCs w:val="21"/>
        </w:rPr>
        <w:t>日的投资单位卖出价</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4869CC">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w:t>
      </w:r>
    </w:p>
    <w:p w:rsidR="0030044A" w:rsidRDefault="00486A9C" w:rsidP="007C7429">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月：上期期末卖出价为</w:t>
      </w:r>
      <w:r w:rsidR="007345AF" w:rsidRPr="00CC5E23">
        <w:rPr>
          <w:rFonts w:ascii="Times New Roman" w:eastAsiaTheme="minorEastAsia" w:hAnsi="Times New Roman"/>
          <w:sz w:val="21"/>
          <w:szCs w:val="21"/>
        </w:rPr>
        <w:t>201</w:t>
      </w:r>
      <w:r w:rsidR="007345AF">
        <w:rPr>
          <w:rFonts w:ascii="Times New Roman" w:eastAsiaTheme="minorEastAsia" w:hAnsi="Times New Roman" w:hint="eastAsia"/>
          <w:sz w:val="21"/>
          <w:szCs w:val="21"/>
        </w:rPr>
        <w:t>5</w:t>
      </w:r>
      <w:r w:rsidR="007345AF" w:rsidRPr="00CC5E23">
        <w:rPr>
          <w:rFonts w:ascii="Times New Roman" w:eastAsiaTheme="minorEastAsia" w:hAnsiTheme="minorEastAsia" w:hint="eastAsia"/>
          <w:sz w:val="21"/>
          <w:szCs w:val="21"/>
        </w:rPr>
        <w:t>年</w:t>
      </w:r>
      <w:r w:rsidR="004C684B">
        <w:rPr>
          <w:rFonts w:ascii="Times New Roman" w:eastAsiaTheme="minorEastAsia" w:hAnsi="Times New Roman" w:hint="eastAsia"/>
          <w:sz w:val="21"/>
          <w:szCs w:val="21"/>
        </w:rPr>
        <w:t>3</w:t>
      </w:r>
      <w:r w:rsidR="007345AF" w:rsidRPr="00CC5E23">
        <w:rPr>
          <w:rFonts w:ascii="Times New Roman" w:eastAsiaTheme="minorEastAsia" w:hAnsiTheme="minorEastAsia" w:hint="eastAsia"/>
          <w:sz w:val="21"/>
          <w:szCs w:val="21"/>
        </w:rPr>
        <w:t>月</w:t>
      </w:r>
      <w:r w:rsidR="007345AF" w:rsidRPr="00CC5E23">
        <w:rPr>
          <w:rFonts w:ascii="Times New Roman" w:eastAsiaTheme="minorEastAsia" w:hAnsi="Times New Roman"/>
          <w:sz w:val="21"/>
          <w:szCs w:val="21"/>
        </w:rPr>
        <w:t>3</w:t>
      </w:r>
      <w:r w:rsidR="007345AF">
        <w:rPr>
          <w:rFonts w:ascii="Times New Roman" w:eastAsiaTheme="minorEastAsia" w:hAnsi="Times New Roman" w:hint="eastAsia"/>
          <w:sz w:val="21"/>
          <w:szCs w:val="21"/>
        </w:rPr>
        <w:t>1</w:t>
      </w:r>
      <w:r w:rsidR="007345AF" w:rsidRPr="00CC5E23">
        <w:rPr>
          <w:rFonts w:ascii="Times New Roman" w:eastAsiaTheme="minorEastAsia" w:hAnsiTheme="minorEastAsia" w:hint="eastAsia"/>
          <w:sz w:val="21"/>
          <w:szCs w:val="21"/>
        </w:rPr>
        <w:t>日的投资单位卖出价</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7345AF">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7345AF">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w:t>
      </w:r>
    </w:p>
    <w:p w:rsidR="00AF0CF6" w:rsidRDefault="00AF0CF6" w:rsidP="00AF0CF6">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lastRenderedPageBreak/>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9</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9</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3</w:t>
      </w:r>
      <w:r w:rsidR="004D23BD">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w:t>
      </w:r>
    </w:p>
    <w:p w:rsidR="00AF0CF6" w:rsidRDefault="00AF0CF6" w:rsidP="00AF0CF6">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sidR="003E3892">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31</w:t>
      </w:r>
      <w:r w:rsidRPr="00CC5E23">
        <w:rPr>
          <w:rFonts w:ascii="Times New Roman" w:eastAsiaTheme="minorEastAsia" w:hAnsiTheme="minorEastAsia" w:hint="eastAsia"/>
          <w:sz w:val="21"/>
          <w:szCs w:val="21"/>
        </w:rPr>
        <w:t>日的投资单位卖出价。</w:t>
      </w:r>
    </w:p>
    <w:p w:rsidR="00AF0CF6" w:rsidRDefault="00AF0CF6" w:rsidP="00AF0CF6">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31</w:t>
      </w:r>
      <w:r w:rsidRPr="00CC5E23">
        <w:rPr>
          <w:rFonts w:ascii="Times New Roman" w:eastAsiaTheme="minorEastAsia" w:hAnsiTheme="minorEastAsia" w:hint="eastAsia"/>
          <w:sz w:val="21"/>
          <w:szCs w:val="21"/>
        </w:rPr>
        <w:t>日的投资单位卖出价。</w:t>
      </w:r>
    </w:p>
    <w:p w:rsidR="00AF0CF6" w:rsidRDefault="00AF0CF6" w:rsidP="00AF0CF6">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w:t>
      </w:r>
    </w:p>
    <w:p w:rsidR="00460B4E" w:rsidRDefault="00460B4E" w:rsidP="00AF0CF6">
      <w:pPr>
        <w:spacing w:line="360" w:lineRule="auto"/>
        <w:ind w:firstLine="420"/>
        <w:jc w:val="both"/>
        <w:rPr>
          <w:rFonts w:ascii="Times New Roman" w:eastAsiaTheme="minorEastAsia" w:hAnsi="Times New Roman"/>
          <w:sz w:val="20"/>
          <w:szCs w:val="20"/>
        </w:rPr>
      </w:pPr>
    </w:p>
    <w:p w:rsidR="00315156" w:rsidRPr="007511D3" w:rsidRDefault="00CC5E23" w:rsidP="00AF546A">
      <w:pPr>
        <w:spacing w:line="360" w:lineRule="auto"/>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图</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w:t>
      </w:r>
      <w:r w:rsidR="004E4A68">
        <w:rPr>
          <w:rFonts w:ascii="Times New Roman" w:eastAsiaTheme="minorEastAsia" w:hAnsiTheme="minorEastAsia" w:hint="eastAsia"/>
          <w:sz w:val="21"/>
          <w:szCs w:val="21"/>
          <w:lang w:val="en-US"/>
        </w:rPr>
        <w:t>稳健</w:t>
      </w:r>
      <w:r w:rsidRPr="00CC5E23">
        <w:rPr>
          <w:rFonts w:ascii="Times New Roman" w:eastAsiaTheme="minorEastAsia" w:hAnsiTheme="minorEastAsia" w:hint="eastAsia"/>
          <w:sz w:val="21"/>
          <w:szCs w:val="21"/>
          <w:lang w:val="en-US"/>
        </w:rPr>
        <w:t>型投资账户单位净值变动图</w:t>
      </w:r>
    </w:p>
    <w:p w:rsidR="00DE10DE" w:rsidRDefault="0046757A" w:rsidP="00DE10DE">
      <w:pPr>
        <w:spacing w:line="360" w:lineRule="auto"/>
        <w:jc w:val="right"/>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单位：</w:t>
      </w:r>
      <w:r w:rsidR="00FC5DC3">
        <w:rPr>
          <w:rFonts w:ascii="Times New Roman" w:eastAsiaTheme="minorEastAsia" w:hAnsiTheme="minorEastAsia" w:hint="eastAsia"/>
          <w:sz w:val="21"/>
          <w:szCs w:val="21"/>
          <w:lang w:val="en-US"/>
        </w:rPr>
        <w:t>元</w:t>
      </w:r>
    </w:p>
    <w:p w:rsidR="00FA5863" w:rsidRPr="0046757A" w:rsidRDefault="00155321" w:rsidP="00B83C2D">
      <w:pPr>
        <w:spacing w:line="360" w:lineRule="auto"/>
        <w:jc w:val="center"/>
        <w:rPr>
          <w:rFonts w:ascii="Times New Roman" w:eastAsiaTheme="minorEastAsia" w:hAnsiTheme="minorEastAsia"/>
          <w:sz w:val="21"/>
          <w:szCs w:val="21"/>
          <w:lang w:val="en-US"/>
        </w:rPr>
      </w:pPr>
      <w:r w:rsidRPr="00155321">
        <w:rPr>
          <w:rFonts w:ascii="Times New Roman" w:eastAsiaTheme="minorEastAsia" w:hAnsiTheme="minorEastAsia"/>
          <w:noProof/>
          <w:sz w:val="21"/>
          <w:szCs w:val="21"/>
          <w:lang w:val="en-US"/>
        </w:rPr>
        <w:drawing>
          <wp:inline distT="0" distB="0" distL="0" distR="0">
            <wp:extent cx="539115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2497" w:rsidRDefault="009A2497">
      <w:pPr>
        <w:spacing w:line="360" w:lineRule="auto"/>
        <w:jc w:val="both"/>
        <w:rPr>
          <w:rFonts w:ascii="Times New Roman" w:eastAsiaTheme="minorEastAsia" w:hAnsi="Times New Roman"/>
          <w:sz w:val="21"/>
          <w:szCs w:val="21"/>
          <w:lang w:val="en-US"/>
        </w:rPr>
      </w:pPr>
    </w:p>
    <w:p w:rsidR="00DD739D" w:rsidRDefault="00CC5E23" w:rsidP="009A2497">
      <w:pPr>
        <w:spacing w:line="360" w:lineRule="auto"/>
        <w:ind w:firstLineChars="200" w:firstLine="422"/>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三、简要财务状况</w:t>
      </w:r>
    </w:p>
    <w:p w:rsidR="00FC12C5" w:rsidRDefault="00CC5E23" w:rsidP="0069074B">
      <w:pPr>
        <w:spacing w:line="360" w:lineRule="auto"/>
        <w:ind w:firstLineChars="196" w:firstLine="412"/>
        <w:contextualSpacing/>
        <w:jc w:val="both"/>
        <w:rPr>
          <w:rFonts w:ascii="Times New Roman" w:eastAsiaTheme="minorEastAsia" w:hAnsiTheme="minorEastAsia"/>
          <w:sz w:val="21"/>
          <w:szCs w:val="21"/>
          <w:lang w:val="en-US"/>
        </w:rPr>
      </w:pPr>
      <w:r w:rsidRPr="008808D0">
        <w:rPr>
          <w:rFonts w:ascii="Times New Roman" w:eastAsiaTheme="minorEastAsia" w:hAnsiTheme="minorEastAsia" w:hint="eastAsia"/>
          <w:sz w:val="21"/>
          <w:szCs w:val="21"/>
          <w:lang w:val="en-US"/>
        </w:rPr>
        <w:t>截至</w:t>
      </w:r>
      <w:r w:rsidRPr="008808D0">
        <w:rPr>
          <w:rFonts w:ascii="Times New Roman" w:eastAsiaTheme="minorEastAsia" w:hAnsiTheme="minorEastAsia"/>
          <w:sz w:val="21"/>
          <w:szCs w:val="21"/>
          <w:lang w:val="en-US"/>
        </w:rPr>
        <w:t>201</w:t>
      </w:r>
      <w:r w:rsidR="002C747A" w:rsidRPr="008808D0">
        <w:rPr>
          <w:rFonts w:ascii="Times New Roman" w:eastAsiaTheme="minorEastAsia" w:hAnsiTheme="minorEastAsia" w:hint="eastAsia"/>
          <w:sz w:val="21"/>
          <w:szCs w:val="21"/>
          <w:lang w:val="en-US"/>
        </w:rPr>
        <w:t>6</w:t>
      </w:r>
      <w:r w:rsidRPr="008808D0">
        <w:rPr>
          <w:rFonts w:ascii="Times New Roman" w:eastAsiaTheme="minorEastAsia" w:hAnsiTheme="minorEastAsia" w:hint="eastAsia"/>
          <w:sz w:val="21"/>
          <w:szCs w:val="21"/>
          <w:lang w:val="en-US"/>
        </w:rPr>
        <w:t>年</w:t>
      </w:r>
      <w:r w:rsidR="00615327" w:rsidRPr="008808D0">
        <w:rPr>
          <w:rFonts w:ascii="Times New Roman" w:eastAsiaTheme="minorEastAsia" w:hAnsiTheme="minorEastAsia" w:hint="eastAsia"/>
          <w:sz w:val="21"/>
          <w:szCs w:val="21"/>
          <w:lang w:val="en-US"/>
        </w:rPr>
        <w:t>6</w:t>
      </w:r>
      <w:r w:rsidRPr="008808D0">
        <w:rPr>
          <w:rFonts w:ascii="Times New Roman" w:eastAsiaTheme="minorEastAsia" w:hAnsiTheme="minorEastAsia" w:hint="eastAsia"/>
          <w:sz w:val="21"/>
          <w:szCs w:val="21"/>
          <w:lang w:val="en-US"/>
        </w:rPr>
        <w:t>月</w:t>
      </w:r>
      <w:r w:rsidR="00615327" w:rsidRPr="008808D0">
        <w:rPr>
          <w:rFonts w:ascii="Times New Roman" w:eastAsiaTheme="minorEastAsia" w:hAnsiTheme="minorEastAsia" w:hint="eastAsia"/>
          <w:sz w:val="21"/>
          <w:szCs w:val="21"/>
          <w:lang w:val="en-US"/>
        </w:rPr>
        <w:t>30</w:t>
      </w:r>
      <w:r w:rsidRPr="008808D0">
        <w:rPr>
          <w:rFonts w:ascii="Times New Roman" w:eastAsiaTheme="minorEastAsia" w:hAnsiTheme="minorEastAsia" w:hint="eastAsia"/>
          <w:sz w:val="21"/>
          <w:szCs w:val="21"/>
          <w:lang w:val="en-US"/>
        </w:rPr>
        <w:t>日，国华</w:t>
      </w:r>
      <w:r w:rsidR="004E4A68" w:rsidRPr="008808D0">
        <w:rPr>
          <w:rFonts w:ascii="Times New Roman" w:eastAsiaTheme="minorEastAsia" w:hAnsiTheme="minorEastAsia" w:hint="eastAsia"/>
          <w:sz w:val="21"/>
          <w:szCs w:val="21"/>
          <w:lang w:val="en-US"/>
        </w:rPr>
        <w:t>稳健</w:t>
      </w:r>
      <w:r w:rsidR="000258B3" w:rsidRPr="008808D0">
        <w:rPr>
          <w:rFonts w:ascii="Times New Roman" w:eastAsiaTheme="minorEastAsia" w:hAnsiTheme="minorEastAsia" w:hint="eastAsia"/>
          <w:sz w:val="21"/>
          <w:szCs w:val="21"/>
          <w:lang w:val="en-US"/>
        </w:rPr>
        <w:t>型投资账户资产总额</w:t>
      </w:r>
      <w:r w:rsidR="00617A50" w:rsidRPr="008808D0">
        <w:rPr>
          <w:rFonts w:ascii="Times New Roman" w:eastAsiaTheme="minorEastAsia" w:hAnsiTheme="minorEastAsia" w:hint="eastAsia"/>
          <w:sz w:val="21"/>
          <w:szCs w:val="21"/>
          <w:lang w:val="en-US"/>
        </w:rPr>
        <w:t>16,305,290.18</w:t>
      </w:r>
      <w:r w:rsidRPr="008808D0">
        <w:rPr>
          <w:rFonts w:ascii="Times New Roman" w:eastAsiaTheme="minorEastAsia" w:hAnsiTheme="minorEastAsia" w:hint="eastAsia"/>
          <w:sz w:val="21"/>
          <w:szCs w:val="21"/>
          <w:lang w:val="en-US"/>
        </w:rPr>
        <w:t>元，负债</w:t>
      </w:r>
      <w:r w:rsidR="00617A50" w:rsidRPr="008808D0">
        <w:rPr>
          <w:rFonts w:ascii="Times New Roman" w:eastAsiaTheme="minorEastAsia" w:hAnsiTheme="minorEastAsia" w:hint="eastAsia"/>
          <w:sz w:val="21"/>
          <w:szCs w:val="21"/>
          <w:lang w:val="en-US"/>
        </w:rPr>
        <w:t>596,366.82</w:t>
      </w:r>
      <w:r w:rsidRPr="008808D0">
        <w:rPr>
          <w:rFonts w:ascii="Times New Roman" w:eastAsiaTheme="minorEastAsia" w:hAnsiTheme="minorEastAsia" w:hint="eastAsia"/>
          <w:sz w:val="21"/>
          <w:szCs w:val="21"/>
          <w:lang w:val="en-US"/>
        </w:rPr>
        <w:t>元，投资账户持有人权益总额</w:t>
      </w:r>
      <w:r w:rsidR="00617A50" w:rsidRPr="008808D0">
        <w:rPr>
          <w:rFonts w:ascii="Times New Roman" w:eastAsiaTheme="minorEastAsia" w:hAnsiTheme="minorEastAsia" w:hint="eastAsia"/>
          <w:sz w:val="21"/>
          <w:szCs w:val="21"/>
          <w:lang w:val="en-US"/>
        </w:rPr>
        <w:t>15,708,923.36</w:t>
      </w:r>
      <w:r w:rsidRPr="008808D0">
        <w:rPr>
          <w:rFonts w:ascii="Times New Roman" w:eastAsiaTheme="minorEastAsia" w:hAnsiTheme="minorEastAsia" w:hint="eastAsia"/>
          <w:sz w:val="21"/>
          <w:szCs w:val="21"/>
          <w:lang w:val="en-US"/>
        </w:rPr>
        <w:t>元。账户已实现累计收益</w:t>
      </w:r>
      <w:r w:rsidR="008808D0" w:rsidRPr="008808D0">
        <w:rPr>
          <w:rFonts w:ascii="Times New Roman" w:eastAsiaTheme="minorEastAsia" w:hAnsiTheme="minorEastAsia" w:hint="eastAsia"/>
          <w:sz w:val="21"/>
          <w:szCs w:val="21"/>
          <w:lang w:val="en-US"/>
        </w:rPr>
        <w:t>27,020,460.16</w:t>
      </w:r>
      <w:r w:rsidRPr="008808D0">
        <w:rPr>
          <w:rFonts w:ascii="Times New Roman" w:eastAsiaTheme="minorEastAsia" w:hAnsiTheme="minorEastAsia" w:hint="eastAsia"/>
          <w:sz w:val="21"/>
          <w:szCs w:val="21"/>
          <w:lang w:val="en-US"/>
        </w:rPr>
        <w:t>元，其中利息收入</w:t>
      </w:r>
      <w:r w:rsidR="008808D0" w:rsidRPr="008808D0">
        <w:rPr>
          <w:rFonts w:ascii="Times New Roman" w:eastAsiaTheme="minorEastAsia" w:hAnsiTheme="minorEastAsia" w:hint="eastAsia"/>
          <w:sz w:val="21"/>
          <w:szCs w:val="21"/>
          <w:lang w:val="en-US"/>
        </w:rPr>
        <w:t>26,150,056.85</w:t>
      </w:r>
      <w:r w:rsidRPr="008808D0">
        <w:rPr>
          <w:rFonts w:ascii="Times New Roman" w:eastAsiaTheme="minorEastAsia" w:hAnsiTheme="minorEastAsia" w:hint="eastAsia"/>
          <w:sz w:val="21"/>
          <w:szCs w:val="21"/>
          <w:lang w:val="en-US"/>
        </w:rPr>
        <w:t>元，红利收入</w:t>
      </w:r>
      <w:r w:rsidR="005723C4">
        <w:rPr>
          <w:rFonts w:ascii="Times New Roman" w:eastAsiaTheme="minorEastAsia" w:hAnsiTheme="minorEastAsia" w:hint="eastAsia"/>
          <w:sz w:val="21"/>
          <w:szCs w:val="21"/>
          <w:lang w:val="en-US"/>
        </w:rPr>
        <w:t>870,403.31</w:t>
      </w:r>
      <w:r w:rsidRPr="008808D0">
        <w:rPr>
          <w:rFonts w:ascii="Times New Roman" w:eastAsiaTheme="minorEastAsia" w:hAnsiTheme="minorEastAsia" w:hint="eastAsia"/>
          <w:sz w:val="21"/>
          <w:szCs w:val="21"/>
          <w:lang w:val="en-US"/>
        </w:rPr>
        <w:t>元。</w:t>
      </w:r>
      <w:r w:rsidR="0050640A" w:rsidRPr="008808D0">
        <w:rPr>
          <w:rFonts w:ascii="Times New Roman" w:eastAsiaTheme="minorEastAsia" w:hAnsiTheme="minorEastAsia"/>
          <w:sz w:val="21"/>
          <w:szCs w:val="21"/>
          <w:lang w:val="en-US"/>
        </w:rPr>
        <w:t>本年度经营收入</w:t>
      </w:r>
      <w:r w:rsidR="008808D0" w:rsidRPr="008808D0">
        <w:rPr>
          <w:rFonts w:ascii="Times New Roman" w:eastAsiaTheme="minorEastAsia" w:hAnsiTheme="minorEastAsia" w:hint="eastAsia"/>
          <w:sz w:val="21"/>
          <w:szCs w:val="21"/>
          <w:lang w:val="en-US"/>
        </w:rPr>
        <w:t>2,400,806.91</w:t>
      </w:r>
      <w:r w:rsidR="0050640A" w:rsidRPr="008808D0">
        <w:rPr>
          <w:rFonts w:ascii="Times New Roman" w:eastAsiaTheme="minorEastAsia" w:hAnsiTheme="minorEastAsia"/>
          <w:sz w:val="21"/>
          <w:szCs w:val="21"/>
          <w:lang w:val="en-US"/>
        </w:rPr>
        <w:t>元</w:t>
      </w:r>
      <w:r w:rsidR="001D7AC7" w:rsidRPr="008808D0">
        <w:rPr>
          <w:rFonts w:ascii="Times New Roman" w:eastAsiaTheme="minorEastAsia" w:hAnsiTheme="minorEastAsia" w:hint="eastAsia"/>
          <w:sz w:val="21"/>
          <w:szCs w:val="21"/>
          <w:lang w:val="en-US"/>
        </w:rPr>
        <w:t>，</w:t>
      </w:r>
      <w:r w:rsidR="0050640A" w:rsidRPr="008808D0">
        <w:rPr>
          <w:rFonts w:ascii="Times New Roman" w:eastAsiaTheme="minorEastAsia" w:hAnsiTheme="minorEastAsia"/>
          <w:sz w:val="21"/>
          <w:szCs w:val="21"/>
          <w:lang w:val="en-US"/>
        </w:rPr>
        <w:t>其中利息收入</w:t>
      </w:r>
      <w:r w:rsidR="008808D0" w:rsidRPr="008808D0">
        <w:rPr>
          <w:rFonts w:ascii="Times New Roman" w:eastAsiaTheme="minorEastAsia" w:hAnsiTheme="minorEastAsia" w:hint="eastAsia"/>
          <w:sz w:val="21"/>
          <w:szCs w:val="21"/>
          <w:lang w:val="en-US"/>
        </w:rPr>
        <w:t>2,222,870.28</w:t>
      </w:r>
      <w:r w:rsidR="0050640A" w:rsidRPr="008808D0">
        <w:rPr>
          <w:rFonts w:ascii="Times New Roman" w:eastAsiaTheme="minorEastAsia" w:hAnsiTheme="minorEastAsia"/>
          <w:sz w:val="21"/>
          <w:szCs w:val="21"/>
          <w:lang w:val="en-US"/>
        </w:rPr>
        <w:t>元，红利收入</w:t>
      </w:r>
      <w:r w:rsidR="008808D0" w:rsidRPr="008808D0">
        <w:rPr>
          <w:rFonts w:ascii="Times New Roman" w:eastAsiaTheme="minorEastAsia" w:hAnsiTheme="minorEastAsia"/>
          <w:sz w:val="21"/>
          <w:szCs w:val="21"/>
          <w:lang w:val="en-US"/>
        </w:rPr>
        <w:t>177</w:t>
      </w:r>
      <w:r w:rsidR="008808D0" w:rsidRPr="008808D0">
        <w:rPr>
          <w:rFonts w:ascii="Times New Roman" w:eastAsiaTheme="minorEastAsia" w:hAnsiTheme="minorEastAsia" w:hint="eastAsia"/>
          <w:sz w:val="21"/>
          <w:szCs w:val="21"/>
          <w:lang w:val="en-US"/>
        </w:rPr>
        <w:t>,</w:t>
      </w:r>
      <w:r w:rsidR="008808D0" w:rsidRPr="008808D0">
        <w:rPr>
          <w:rFonts w:ascii="Times New Roman" w:eastAsiaTheme="minorEastAsia" w:hAnsiTheme="minorEastAsia"/>
          <w:sz w:val="21"/>
          <w:szCs w:val="21"/>
          <w:lang w:val="en-US"/>
        </w:rPr>
        <w:t>936.63</w:t>
      </w:r>
      <w:r w:rsidR="0050640A" w:rsidRPr="008808D0">
        <w:rPr>
          <w:rFonts w:ascii="Times New Roman" w:eastAsiaTheme="minorEastAsia" w:hAnsiTheme="minorEastAsia"/>
          <w:sz w:val="21"/>
          <w:szCs w:val="21"/>
          <w:lang w:val="en-US"/>
        </w:rPr>
        <w:t>元。</w:t>
      </w:r>
      <w:r w:rsidR="00D12ACF" w:rsidRPr="008808D0">
        <w:rPr>
          <w:rFonts w:ascii="Times New Roman" w:eastAsiaTheme="minorEastAsia" w:hAnsiTheme="minorEastAsia" w:hint="eastAsia"/>
          <w:sz w:val="21"/>
          <w:szCs w:val="21"/>
          <w:lang w:val="en-US"/>
        </w:rPr>
        <w:t>本年度</w:t>
      </w:r>
      <w:r w:rsidR="0050640A" w:rsidRPr="008808D0">
        <w:rPr>
          <w:rFonts w:ascii="Times New Roman" w:eastAsiaTheme="minorEastAsia" w:hAnsiTheme="minorEastAsia"/>
          <w:sz w:val="21"/>
          <w:szCs w:val="21"/>
          <w:lang w:val="en-US"/>
        </w:rPr>
        <w:t>经营支出</w:t>
      </w:r>
      <w:r w:rsidR="008808D0" w:rsidRPr="008808D0">
        <w:rPr>
          <w:rFonts w:ascii="Times New Roman" w:eastAsiaTheme="minorEastAsia" w:hAnsiTheme="minorEastAsia" w:hint="eastAsia"/>
          <w:sz w:val="21"/>
          <w:szCs w:val="21"/>
          <w:lang w:val="en-US"/>
        </w:rPr>
        <w:t>570,648.81</w:t>
      </w:r>
      <w:r w:rsidR="0050640A" w:rsidRPr="008808D0">
        <w:rPr>
          <w:rFonts w:ascii="Times New Roman" w:eastAsiaTheme="minorEastAsia" w:hAnsiTheme="minorEastAsia"/>
          <w:sz w:val="21"/>
          <w:szCs w:val="21"/>
          <w:lang w:val="en-US"/>
        </w:rPr>
        <w:t>元，其中账户资产管理费支出</w:t>
      </w:r>
      <w:r w:rsidR="008808D0" w:rsidRPr="008808D0">
        <w:rPr>
          <w:rFonts w:ascii="Times New Roman" w:eastAsiaTheme="minorEastAsia" w:hAnsiTheme="minorEastAsia"/>
          <w:sz w:val="21"/>
          <w:szCs w:val="21"/>
          <w:lang w:val="en-US"/>
        </w:rPr>
        <w:t>561</w:t>
      </w:r>
      <w:r w:rsidR="008808D0" w:rsidRPr="008808D0">
        <w:rPr>
          <w:rFonts w:ascii="Times New Roman" w:eastAsiaTheme="minorEastAsia" w:hAnsiTheme="minorEastAsia" w:hint="eastAsia"/>
          <w:sz w:val="21"/>
          <w:szCs w:val="21"/>
          <w:lang w:val="en-US"/>
        </w:rPr>
        <w:t>,</w:t>
      </w:r>
      <w:r w:rsidR="008808D0" w:rsidRPr="008808D0">
        <w:rPr>
          <w:rFonts w:ascii="Times New Roman" w:eastAsiaTheme="minorEastAsia" w:hAnsiTheme="minorEastAsia"/>
          <w:sz w:val="21"/>
          <w:szCs w:val="21"/>
          <w:lang w:val="en-US"/>
        </w:rPr>
        <w:t>730.53</w:t>
      </w:r>
      <w:r w:rsidR="00A14DC0">
        <w:rPr>
          <w:rFonts w:ascii="Times New Roman" w:eastAsiaTheme="minorEastAsia" w:hAnsiTheme="minorEastAsia"/>
          <w:sz w:val="21"/>
          <w:szCs w:val="21"/>
          <w:lang w:val="en-US"/>
        </w:rPr>
        <w:t>元，其他</w:t>
      </w:r>
      <w:r w:rsidR="0050640A" w:rsidRPr="008808D0">
        <w:rPr>
          <w:rFonts w:ascii="Times New Roman" w:eastAsiaTheme="minorEastAsia" w:hAnsiTheme="minorEastAsia"/>
          <w:sz w:val="21"/>
          <w:szCs w:val="21"/>
          <w:lang w:val="en-US"/>
        </w:rPr>
        <w:t>支出</w:t>
      </w:r>
      <w:r w:rsidR="008808D0" w:rsidRPr="008808D0">
        <w:rPr>
          <w:rFonts w:ascii="Times New Roman" w:eastAsiaTheme="minorEastAsia" w:hAnsiTheme="minorEastAsia" w:hint="eastAsia"/>
          <w:sz w:val="21"/>
          <w:szCs w:val="21"/>
          <w:lang w:val="en-US"/>
        </w:rPr>
        <w:t>8,918.28</w:t>
      </w:r>
      <w:r w:rsidR="0050640A" w:rsidRPr="008808D0">
        <w:rPr>
          <w:rFonts w:ascii="Times New Roman" w:eastAsiaTheme="minorEastAsia" w:hAnsiTheme="minorEastAsia"/>
          <w:sz w:val="21"/>
          <w:szCs w:val="21"/>
          <w:lang w:val="en-US"/>
        </w:rPr>
        <w:t>元。</w:t>
      </w:r>
      <w:r w:rsidR="00D12ACF" w:rsidRPr="008808D0">
        <w:rPr>
          <w:rFonts w:ascii="Times New Roman" w:eastAsiaTheme="minorEastAsia" w:hAnsiTheme="minorEastAsia" w:hint="eastAsia"/>
          <w:sz w:val="21"/>
          <w:szCs w:val="21"/>
          <w:lang w:val="en-US"/>
        </w:rPr>
        <w:t>本年度</w:t>
      </w:r>
      <w:r w:rsidR="0050640A" w:rsidRPr="008808D0">
        <w:rPr>
          <w:rFonts w:ascii="Times New Roman" w:eastAsiaTheme="minorEastAsia" w:hAnsiTheme="minorEastAsia"/>
          <w:sz w:val="21"/>
          <w:szCs w:val="21"/>
          <w:lang w:val="en-US"/>
        </w:rPr>
        <w:t>已实现净收益</w:t>
      </w:r>
      <w:r w:rsidR="008808D0" w:rsidRPr="008808D0">
        <w:rPr>
          <w:rFonts w:ascii="Times New Roman" w:eastAsiaTheme="minorEastAsia" w:hAnsiTheme="minorEastAsia"/>
          <w:sz w:val="21"/>
          <w:szCs w:val="21"/>
          <w:lang w:val="en-US"/>
        </w:rPr>
        <w:t>1,830,158.10</w:t>
      </w:r>
      <w:r w:rsidR="0050640A" w:rsidRPr="008808D0">
        <w:rPr>
          <w:rFonts w:ascii="Times New Roman" w:eastAsiaTheme="minorEastAsia" w:hAnsiTheme="minorEastAsia"/>
          <w:sz w:val="21"/>
          <w:szCs w:val="21"/>
          <w:lang w:val="en-US"/>
        </w:rPr>
        <w:t>元。</w:t>
      </w:r>
    </w:p>
    <w:p w:rsidR="0031783E" w:rsidRPr="0069074B" w:rsidRDefault="0031783E" w:rsidP="0069074B">
      <w:pPr>
        <w:spacing w:line="360" w:lineRule="auto"/>
        <w:ind w:firstLineChars="196" w:firstLine="412"/>
        <w:contextualSpacing/>
        <w:jc w:val="both"/>
        <w:rPr>
          <w:rFonts w:ascii="Times New Roman" w:eastAsiaTheme="minorEastAsia" w:hAnsiTheme="minorEastAsia"/>
          <w:sz w:val="21"/>
          <w:szCs w:val="21"/>
          <w:lang w:val="en-US"/>
        </w:rPr>
      </w:pPr>
    </w:p>
    <w:p w:rsidR="00B466D1" w:rsidRDefault="00CC5E23" w:rsidP="00B466D1">
      <w:pPr>
        <w:spacing w:line="360" w:lineRule="auto"/>
        <w:ind w:firstLineChars="196" w:firstLine="413"/>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b/>
          <w:sz w:val="21"/>
          <w:szCs w:val="21"/>
          <w:lang w:val="en-US"/>
        </w:rPr>
        <w:lastRenderedPageBreak/>
        <w:t>四、资产管理费情况</w:t>
      </w:r>
      <w:r w:rsidRPr="00CC5E23">
        <w:rPr>
          <w:rFonts w:ascii="Times New Roman" w:eastAsiaTheme="minorEastAsia" w:hAnsi="Times New Roman"/>
          <w:sz w:val="21"/>
          <w:szCs w:val="21"/>
          <w:lang w:val="en-US"/>
        </w:rPr>
        <w:br/>
      </w:r>
      <w:r w:rsidRPr="00CC5E23">
        <w:rPr>
          <w:rFonts w:ascii="Times New Roman" w:eastAsiaTheme="minorEastAsia" w:hAnsiTheme="minorEastAsia" w:hint="eastAsia"/>
          <w:sz w:val="21"/>
          <w:szCs w:val="21"/>
          <w:lang w:val="en-US"/>
        </w:rPr>
        <w:t xml:space="preserve">　　本公司根据保单条款在每个资产评估日按照投资账户资产净值的比例收取资产管理费，</w:t>
      </w:r>
      <w:r w:rsidR="00C3280A" w:rsidRPr="00C3280A">
        <w:rPr>
          <w:rFonts w:ascii="Times New Roman" w:eastAsiaTheme="minorEastAsia" w:hAnsiTheme="minorEastAsia" w:hint="eastAsia"/>
          <w:sz w:val="21"/>
          <w:szCs w:val="21"/>
          <w:lang w:val="en-US"/>
        </w:rPr>
        <w:t>在不违反相关的法律、法规、规则和规定的前提下，我们有权对资产管理费收取比例进行调整，但该比例最高不超过</w:t>
      </w:r>
      <w:r w:rsidR="00C3280A" w:rsidRPr="00C3280A">
        <w:rPr>
          <w:rFonts w:ascii="Times New Roman" w:eastAsiaTheme="minorEastAsia" w:hAnsiTheme="minorEastAsia"/>
          <w:sz w:val="21"/>
          <w:szCs w:val="21"/>
          <w:lang w:val="en-US"/>
        </w:rPr>
        <w:t>2%</w:t>
      </w:r>
      <w:r w:rsidR="00C3280A" w:rsidRPr="00C3280A">
        <w:rPr>
          <w:rFonts w:ascii="Times New Roman" w:eastAsiaTheme="minorEastAsia" w:hAnsiTheme="minorEastAsia" w:hint="eastAsia"/>
          <w:sz w:val="21"/>
          <w:szCs w:val="21"/>
          <w:lang w:val="en-US"/>
        </w:rPr>
        <w:t>。</w:t>
      </w:r>
    </w:p>
    <w:p w:rsidR="00CC5E23" w:rsidRPr="00B466D1" w:rsidRDefault="00CC5E23" w:rsidP="00B466D1">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B466D1">
        <w:rPr>
          <w:rFonts w:ascii="Times New Roman" w:eastAsiaTheme="minorEastAsia" w:hAnsiTheme="minorEastAsia"/>
          <w:sz w:val="21"/>
          <w:szCs w:val="21"/>
          <w:lang w:val="en-US"/>
        </w:rPr>
        <w:t>201</w:t>
      </w:r>
      <w:r w:rsidR="008808D0" w:rsidRPr="00B466D1">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002C68E3" w:rsidRPr="00B466D1">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002C68E3" w:rsidRPr="00B466D1">
        <w:rPr>
          <w:rFonts w:ascii="Times New Roman" w:eastAsiaTheme="minorEastAsia" w:hAnsiTheme="minorEastAsia" w:hint="eastAsia"/>
          <w:sz w:val="21"/>
          <w:szCs w:val="21"/>
          <w:lang w:val="en-US"/>
        </w:rPr>
        <w:t>30</w:t>
      </w:r>
      <w:r w:rsidRPr="00CC5E23">
        <w:rPr>
          <w:rFonts w:ascii="Times New Roman" w:eastAsiaTheme="minorEastAsia" w:hAnsiTheme="minorEastAsia" w:hint="eastAsia"/>
          <w:sz w:val="21"/>
          <w:szCs w:val="21"/>
          <w:lang w:val="en-US"/>
        </w:rPr>
        <w:t>日，</w:t>
      </w:r>
      <w:r w:rsidR="00277DEF">
        <w:rPr>
          <w:rFonts w:ascii="Times New Roman" w:eastAsiaTheme="minorEastAsia" w:hAnsiTheme="minorEastAsia" w:hint="eastAsia"/>
          <w:sz w:val="21"/>
          <w:szCs w:val="21"/>
          <w:lang w:val="en-US"/>
        </w:rPr>
        <w:t>本账户</w:t>
      </w:r>
      <w:r w:rsidR="0050640A" w:rsidRPr="00C27D30">
        <w:rPr>
          <w:rFonts w:ascii="Times New Roman" w:eastAsiaTheme="minorEastAsia" w:hAnsiTheme="minorEastAsia"/>
          <w:sz w:val="21"/>
          <w:szCs w:val="21"/>
          <w:lang w:val="en-US"/>
        </w:rPr>
        <w:t>资产管理费</w:t>
      </w:r>
      <w:r w:rsidR="007807B7">
        <w:rPr>
          <w:rFonts w:ascii="Times New Roman" w:eastAsiaTheme="minorEastAsia" w:hAnsiTheme="minorEastAsia" w:hint="eastAsia"/>
          <w:sz w:val="21"/>
          <w:szCs w:val="21"/>
          <w:lang w:val="en-US"/>
        </w:rPr>
        <w:t>累计</w:t>
      </w:r>
      <w:r w:rsidR="0050640A" w:rsidRPr="00C27D30">
        <w:rPr>
          <w:rFonts w:ascii="Times New Roman" w:eastAsiaTheme="minorEastAsia" w:hAnsiTheme="minorEastAsia"/>
          <w:sz w:val="21"/>
          <w:szCs w:val="21"/>
          <w:lang w:val="en-US"/>
        </w:rPr>
        <w:t>为</w:t>
      </w:r>
      <w:r w:rsidR="008808D0" w:rsidRPr="00B466D1">
        <w:rPr>
          <w:rFonts w:ascii="Times New Roman" w:eastAsiaTheme="minorEastAsia" w:hAnsiTheme="minorEastAsia" w:hint="eastAsia"/>
          <w:sz w:val="21"/>
          <w:szCs w:val="21"/>
          <w:lang w:val="en-US"/>
        </w:rPr>
        <w:t>5,957,535.29</w:t>
      </w:r>
      <w:r w:rsidR="0050640A" w:rsidRPr="00B466D1">
        <w:rPr>
          <w:rFonts w:ascii="Times New Roman" w:eastAsiaTheme="minorEastAsia" w:hAnsiTheme="minorEastAsia"/>
          <w:sz w:val="21"/>
          <w:szCs w:val="21"/>
          <w:lang w:val="en-US"/>
        </w:rPr>
        <w:t>元。</w:t>
      </w:r>
    </w:p>
    <w:p w:rsidR="003F6641" w:rsidRPr="00C3280A" w:rsidRDefault="003F6641" w:rsidP="003F6641">
      <w:pPr>
        <w:spacing w:line="360" w:lineRule="auto"/>
        <w:ind w:firstLineChars="196" w:firstLine="412"/>
        <w:contextualSpacing/>
        <w:jc w:val="both"/>
        <w:rPr>
          <w:rFonts w:ascii="Times New Roman" w:eastAsiaTheme="minorEastAsia" w:hAnsi="Times New Roman"/>
          <w:sz w:val="21"/>
          <w:szCs w:val="21"/>
          <w:lang w:val="en-US"/>
        </w:rPr>
      </w:pPr>
    </w:p>
    <w:p w:rsidR="00B14166" w:rsidRDefault="00CC5E23" w:rsidP="00A21B7D">
      <w:pPr>
        <w:spacing w:line="360" w:lineRule="auto"/>
        <w:ind w:firstLineChars="196" w:firstLine="413"/>
        <w:contextualSpacing/>
        <w:jc w:val="both"/>
        <w:rPr>
          <w:rFonts w:ascii="Times New Roman" w:eastAsiaTheme="minorEastAsia" w:hAnsiTheme="minorEastAsia"/>
          <w:b/>
          <w:sz w:val="21"/>
          <w:szCs w:val="21"/>
          <w:lang w:val="en-US"/>
        </w:rPr>
      </w:pPr>
      <w:r w:rsidRPr="00A148D0">
        <w:rPr>
          <w:rFonts w:ascii="Times New Roman" w:eastAsiaTheme="minorEastAsia" w:hAnsiTheme="minorEastAsia" w:hint="eastAsia"/>
          <w:b/>
          <w:sz w:val="21"/>
          <w:szCs w:val="21"/>
          <w:lang w:val="en-US"/>
        </w:rPr>
        <w:t>五、投资组合</w:t>
      </w:r>
    </w:p>
    <w:p w:rsidR="00523A95" w:rsidRDefault="0053519B" w:rsidP="00B466D1">
      <w:pPr>
        <w:spacing w:line="360" w:lineRule="auto"/>
        <w:ind w:firstLineChars="196" w:firstLine="412"/>
        <w:contextualSpacing/>
        <w:jc w:val="both"/>
        <w:rPr>
          <w:rFonts w:ascii="Times New Roman" w:eastAsiaTheme="minorEastAsia" w:hAnsiTheme="minorEastAsia"/>
          <w:sz w:val="21"/>
          <w:szCs w:val="21"/>
          <w:lang w:val="en-US"/>
        </w:rPr>
      </w:pPr>
      <w:r w:rsidRPr="0053519B">
        <w:rPr>
          <w:rFonts w:ascii="Times New Roman" w:eastAsiaTheme="minorEastAsia" w:hAnsiTheme="minorEastAsia" w:hint="eastAsia"/>
          <w:sz w:val="21"/>
          <w:szCs w:val="21"/>
          <w:lang w:val="en-US"/>
        </w:rPr>
        <w:t>截至</w:t>
      </w:r>
      <w:r w:rsidRPr="0053519B">
        <w:rPr>
          <w:rFonts w:ascii="Times New Roman" w:eastAsiaTheme="minorEastAsia" w:hAnsiTheme="minorEastAsia"/>
          <w:sz w:val="21"/>
          <w:szCs w:val="21"/>
          <w:lang w:val="en-US"/>
        </w:rPr>
        <w:t>201</w:t>
      </w:r>
      <w:r w:rsidR="00B466D1">
        <w:rPr>
          <w:rFonts w:ascii="Times New Roman" w:eastAsiaTheme="minorEastAsia" w:hAnsiTheme="minorEastAsia" w:hint="eastAsia"/>
          <w:sz w:val="21"/>
          <w:szCs w:val="21"/>
          <w:lang w:val="en-US"/>
        </w:rPr>
        <w:t>6</w:t>
      </w:r>
      <w:r w:rsidRPr="0053519B">
        <w:rPr>
          <w:rFonts w:ascii="Times New Roman" w:eastAsiaTheme="minorEastAsia" w:hAnsiTheme="minorEastAsia" w:hint="eastAsia"/>
          <w:sz w:val="21"/>
          <w:szCs w:val="21"/>
          <w:lang w:val="en-US"/>
        </w:rPr>
        <w:t>年</w:t>
      </w:r>
      <w:r w:rsidRPr="0053519B">
        <w:rPr>
          <w:rFonts w:ascii="Times New Roman" w:eastAsiaTheme="minorEastAsia" w:hAnsiTheme="minorEastAsia" w:hint="eastAsia"/>
          <w:sz w:val="21"/>
          <w:szCs w:val="21"/>
          <w:lang w:val="en-US"/>
        </w:rPr>
        <w:t>6</w:t>
      </w:r>
      <w:r w:rsidRPr="0053519B">
        <w:rPr>
          <w:rFonts w:ascii="Times New Roman" w:eastAsiaTheme="minorEastAsia" w:hAnsiTheme="minorEastAsia" w:hint="eastAsia"/>
          <w:sz w:val="21"/>
          <w:szCs w:val="21"/>
          <w:lang w:val="en-US"/>
        </w:rPr>
        <w:t>月</w:t>
      </w:r>
      <w:r w:rsidRPr="0053519B">
        <w:rPr>
          <w:rFonts w:ascii="Times New Roman" w:eastAsiaTheme="minorEastAsia" w:hAnsiTheme="minorEastAsia"/>
          <w:sz w:val="21"/>
          <w:szCs w:val="21"/>
          <w:lang w:val="en-US"/>
        </w:rPr>
        <w:t>3</w:t>
      </w:r>
      <w:r w:rsidRPr="0053519B">
        <w:rPr>
          <w:rFonts w:ascii="Times New Roman" w:eastAsiaTheme="minorEastAsia" w:hAnsiTheme="minorEastAsia" w:hint="eastAsia"/>
          <w:sz w:val="21"/>
          <w:szCs w:val="21"/>
          <w:lang w:val="en-US"/>
        </w:rPr>
        <w:t>0</w:t>
      </w:r>
      <w:r w:rsidRPr="0053519B">
        <w:rPr>
          <w:rFonts w:ascii="Times New Roman" w:eastAsiaTheme="minorEastAsia" w:hAnsiTheme="minorEastAsia" w:hint="eastAsia"/>
          <w:sz w:val="21"/>
          <w:szCs w:val="21"/>
          <w:lang w:val="en-US"/>
        </w:rPr>
        <w:t>日，本账户资产配置情况如下：流动性资产</w:t>
      </w:r>
      <w:r w:rsidR="00B466D1" w:rsidRPr="00B466D1">
        <w:rPr>
          <w:rFonts w:ascii="Times New Roman" w:eastAsiaTheme="minorEastAsia" w:hAnsiTheme="minorEastAsia" w:hint="eastAsia"/>
          <w:sz w:val="21"/>
          <w:szCs w:val="21"/>
          <w:lang w:val="en-US"/>
        </w:rPr>
        <w:t>16,273,222.90</w:t>
      </w:r>
      <w:r w:rsidRPr="0053519B">
        <w:rPr>
          <w:rFonts w:ascii="Times New Roman" w:eastAsiaTheme="minorEastAsia" w:hAnsiTheme="minorEastAsia" w:hint="eastAsia"/>
          <w:sz w:val="21"/>
          <w:szCs w:val="21"/>
          <w:lang w:val="en-US"/>
        </w:rPr>
        <w:t>元。</w:t>
      </w:r>
    </w:p>
    <w:p w:rsidR="00DC1E66" w:rsidRPr="00DC1E66" w:rsidRDefault="00DC1E66" w:rsidP="00B466D1">
      <w:pPr>
        <w:spacing w:line="360" w:lineRule="auto"/>
        <w:ind w:firstLineChars="196" w:firstLine="412"/>
        <w:contextualSpacing/>
        <w:jc w:val="both"/>
        <w:rPr>
          <w:rFonts w:ascii="Times New Roman" w:eastAsiaTheme="minorEastAsia" w:hAnsiTheme="minorEastAsia"/>
          <w:sz w:val="21"/>
          <w:szCs w:val="21"/>
          <w:lang w:val="en-US"/>
        </w:rPr>
      </w:pPr>
    </w:p>
    <w:p w:rsidR="00CC5E23" w:rsidRPr="00CC5E23" w:rsidRDefault="00CC5E23" w:rsidP="00B84CB0">
      <w:pPr>
        <w:spacing w:line="360" w:lineRule="auto"/>
        <w:ind w:rightChars="54" w:right="119" w:firstLineChars="200" w:firstLine="422"/>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六、估值原则</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独立账户的下列资产应于合同约定的计价日（以下称</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（一）流动性资产、固定收益类资产、上市权益类资产</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下列资产应于合同约定的计价日（以下称</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3642D3">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上市流通的有价证券，以其在证券交易所挂牌的市价（平均价或收盘价，下同）估值；估值日无交易的，以最近交易日的市价估值；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2.</w:t>
      </w:r>
      <w:r w:rsidRPr="00C27D30">
        <w:rPr>
          <w:rFonts w:ascii="Times New Roman" w:eastAsiaTheme="minorEastAsia" w:hAnsiTheme="minorEastAsia"/>
          <w:sz w:val="21"/>
          <w:szCs w:val="21"/>
          <w:lang w:val="en-US"/>
        </w:rPr>
        <w:t>开放式基金，以其公告的基金单位净值估值；处于募集期内的证券投资基金，按其成本估值；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3.</w:t>
      </w:r>
      <w:r w:rsidRPr="00C27D30">
        <w:rPr>
          <w:rFonts w:ascii="Times New Roman" w:eastAsiaTheme="minorEastAsia" w:hAnsiTheme="minorEastAsia"/>
          <w:sz w:val="21"/>
          <w:szCs w:val="21"/>
          <w:lang w:val="en-US"/>
        </w:rPr>
        <w:t>如有确凿证据表明按上述方法进行估值不能客观反映其公允价值的，公司应根据具体情况按最能反映公允价值的价格估值。</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流动性资产、固定收益类资产、上市权益类资产的分类和定义遵照中国保监会资金运用相关监管规定。</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（二）基础设施投资计划、不动产相关金融产品、其他金融资产</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基础设施投资计划、不动产相关金融产品、其他金融资产的分类和定义遵照中国保监会资金运用的相关监管规定。</w:t>
      </w:r>
    </w:p>
    <w:p w:rsidR="00B84CB0" w:rsidRPr="00C27D30" w:rsidRDefault="00B84CB0" w:rsidP="00B84CB0">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（三）定向增发股票</w:t>
      </w:r>
    </w:p>
    <w:p w:rsidR="00716794" w:rsidRDefault="00B84CB0" w:rsidP="000D2C96">
      <w:pPr>
        <w:pStyle w:val="ae"/>
        <w:spacing w:line="360" w:lineRule="auto"/>
        <w:ind w:rightChars="54" w:right="119"/>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lang w:val="en-US"/>
        </w:rPr>
        <w:lastRenderedPageBreak/>
        <w:t>定向增发股票的估值方法如下：有公开市场的定向增发股票，在估值日当天，如公开市场的公允价值低于定向增发的初始取得成本，按公允价值估值。如公允价值高于定向增发的初始取得成本，估值价值为：初始成本价＋（公允价值－初始成本价）</w:t>
      </w:r>
      <w:r w:rsidRPr="00C27D30">
        <w:rPr>
          <w:rFonts w:ascii="Times New Roman" w:eastAsiaTheme="minorEastAsia" w:hAnsi="Times New Roman"/>
          <w:sz w:val="21"/>
          <w:szCs w:val="21"/>
          <w:lang w:val="en-US"/>
        </w:rPr>
        <w:t>×</w:t>
      </w:r>
      <w:r w:rsidRPr="00C27D30">
        <w:rPr>
          <w:rFonts w:ascii="Times New Roman" w:eastAsiaTheme="minorEastAsia" w:hAnsiTheme="minorEastAsia"/>
          <w:sz w:val="21"/>
          <w:szCs w:val="21"/>
          <w:lang w:val="en-US"/>
        </w:rPr>
        <w:t>起始锁定日到估值日的期间占总锁定期的比例。无公开市场的定向增发，在估值日按账面价值估值。</w:t>
      </w:r>
    </w:p>
    <w:p w:rsidR="0031783E" w:rsidRDefault="0031783E" w:rsidP="000D2C96">
      <w:pPr>
        <w:pStyle w:val="ae"/>
        <w:spacing w:line="360" w:lineRule="auto"/>
        <w:ind w:rightChars="54" w:right="119"/>
        <w:jc w:val="both"/>
        <w:rPr>
          <w:rFonts w:ascii="Times New Roman" w:eastAsiaTheme="minorEastAsia" w:hAnsi="Times New Roman"/>
          <w:sz w:val="21"/>
          <w:szCs w:val="21"/>
          <w:lang w:val="en-US"/>
        </w:rPr>
      </w:pPr>
    </w:p>
    <w:p w:rsidR="00CC5E23" w:rsidRPr="00CC5E23" w:rsidRDefault="00C20180"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Pr>
          <w:rFonts w:ascii="Times New Roman" w:eastAsiaTheme="minorEastAsia" w:hAnsiTheme="minorEastAsia" w:hint="eastAsia"/>
          <w:b/>
          <w:sz w:val="21"/>
          <w:szCs w:val="21"/>
          <w:lang w:val="en-US"/>
        </w:rPr>
        <w:t>七</w:t>
      </w:r>
      <w:r w:rsidR="00CC5E23" w:rsidRPr="00CC5E23">
        <w:rPr>
          <w:rFonts w:ascii="Times New Roman" w:eastAsiaTheme="minorEastAsia" w:hAnsiTheme="minorEastAsia" w:hint="eastAsia"/>
          <w:b/>
          <w:sz w:val="21"/>
          <w:szCs w:val="21"/>
          <w:lang w:val="en-US"/>
        </w:rPr>
        <w:t>、托管银行变更</w:t>
      </w:r>
    </w:p>
    <w:p w:rsidR="00DD739D" w:rsidRPr="00B84CB0" w:rsidRDefault="00C25CDB" w:rsidP="00716794">
      <w:pPr>
        <w:pStyle w:val="ae"/>
        <w:spacing w:line="360" w:lineRule="auto"/>
        <w:ind w:leftChars="165" w:left="363" w:right="200" w:firstLineChars="50" w:firstLine="105"/>
        <w:rPr>
          <w:rFonts w:ascii="Times New Roman" w:eastAsiaTheme="minorEastAsia" w:hAnsi="Times New Roman"/>
          <w:sz w:val="21"/>
          <w:szCs w:val="21"/>
          <w:lang w:val="en-US"/>
        </w:rPr>
      </w:pPr>
      <w:r>
        <w:rPr>
          <w:rFonts w:ascii="Times New Roman" w:eastAsiaTheme="minorEastAsia" w:hAnsiTheme="minorEastAsia" w:hint="eastAsia"/>
          <w:sz w:val="21"/>
          <w:szCs w:val="21"/>
          <w:lang w:val="en-US"/>
        </w:rPr>
        <w:t>本账户由中国邮政储蓄</w:t>
      </w:r>
      <w:r w:rsidR="00CC5E23" w:rsidRPr="00CC5E23">
        <w:rPr>
          <w:rFonts w:ascii="Times New Roman" w:eastAsiaTheme="minorEastAsia" w:hAnsiTheme="minorEastAsia" w:hint="eastAsia"/>
          <w:sz w:val="21"/>
          <w:szCs w:val="21"/>
          <w:lang w:val="en-US"/>
        </w:rPr>
        <w:t>银行托管，截至</w:t>
      </w:r>
      <w:r w:rsidR="00CC5E23" w:rsidRPr="00CC5E23">
        <w:rPr>
          <w:rFonts w:ascii="Times New Roman" w:eastAsiaTheme="minorEastAsia" w:hAnsi="Times New Roman"/>
          <w:sz w:val="21"/>
          <w:szCs w:val="21"/>
          <w:lang w:val="en-US"/>
        </w:rPr>
        <w:t>201</w:t>
      </w:r>
      <w:r w:rsidR="00C21DEF">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年</w:t>
      </w:r>
      <w:r w:rsidR="00A3287E">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月</w:t>
      </w:r>
      <w:r w:rsidR="00A3287E">
        <w:rPr>
          <w:rFonts w:ascii="Times New Roman" w:eastAsiaTheme="minorEastAsia" w:hAnsi="Times New Roman" w:hint="eastAsia"/>
          <w:sz w:val="21"/>
          <w:szCs w:val="21"/>
          <w:lang w:val="en-US"/>
        </w:rPr>
        <w:t>30</w:t>
      </w:r>
      <w:r w:rsidR="00CC5E23" w:rsidRPr="00CC5E23">
        <w:rPr>
          <w:rFonts w:ascii="Times New Roman" w:eastAsiaTheme="minorEastAsia" w:hAnsiTheme="minorEastAsia" w:hint="eastAsia"/>
          <w:sz w:val="21"/>
          <w:szCs w:val="21"/>
          <w:lang w:val="en-US"/>
        </w:rPr>
        <w:t>日，托管银行未发生变更。</w:t>
      </w:r>
    </w:p>
    <w:p w:rsidR="009A2497" w:rsidRDefault="00CC5E23" w:rsidP="00B84CB0">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国华人寿保险股份有限公司</w:t>
      </w:r>
    </w:p>
    <w:p w:rsidR="00B303B3" w:rsidRPr="00B84CB0" w:rsidRDefault="00DC08B3" w:rsidP="00B84CB0">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B84CB0">
        <w:rPr>
          <w:rFonts w:ascii="Times New Roman" w:eastAsiaTheme="minorEastAsia" w:hAnsiTheme="minorEastAsia" w:hint="eastAsia"/>
          <w:sz w:val="21"/>
          <w:szCs w:val="21"/>
          <w:lang w:val="en-US"/>
        </w:rPr>
        <w:t>201</w:t>
      </w:r>
      <w:r w:rsidR="00C21DEF">
        <w:rPr>
          <w:rFonts w:ascii="Times New Roman" w:eastAsiaTheme="minorEastAsia" w:hAnsiTheme="minorEastAsia" w:hint="eastAsia"/>
          <w:sz w:val="21"/>
          <w:szCs w:val="21"/>
          <w:lang w:val="en-US"/>
        </w:rPr>
        <w:t>6</w:t>
      </w:r>
      <w:r w:rsidR="00732C74" w:rsidRPr="00B84CB0">
        <w:rPr>
          <w:rFonts w:ascii="Times New Roman" w:eastAsiaTheme="minorEastAsia" w:hAnsiTheme="minorEastAsia" w:hint="eastAsia"/>
          <w:sz w:val="21"/>
          <w:szCs w:val="21"/>
          <w:lang w:val="en-US"/>
        </w:rPr>
        <w:t>年</w:t>
      </w:r>
      <w:r w:rsidR="00A3287E" w:rsidRPr="00B84CB0">
        <w:rPr>
          <w:rFonts w:ascii="Times New Roman" w:eastAsiaTheme="minorEastAsia" w:hAnsiTheme="minorEastAsia" w:hint="eastAsia"/>
          <w:sz w:val="21"/>
          <w:szCs w:val="21"/>
          <w:lang w:val="en-US"/>
        </w:rPr>
        <w:t>8</w:t>
      </w:r>
      <w:r w:rsidR="00732C74" w:rsidRPr="00B84CB0">
        <w:rPr>
          <w:rFonts w:ascii="Times New Roman" w:eastAsiaTheme="minorEastAsia" w:hAnsiTheme="minorEastAsia" w:hint="eastAsia"/>
          <w:sz w:val="21"/>
          <w:szCs w:val="21"/>
          <w:lang w:val="en-US"/>
        </w:rPr>
        <w:t>月</w:t>
      </w:r>
      <w:r w:rsidR="00DC1E66">
        <w:rPr>
          <w:rFonts w:ascii="Times New Roman" w:eastAsiaTheme="minorEastAsia" w:hAnsiTheme="minorEastAsia" w:hint="eastAsia"/>
          <w:sz w:val="21"/>
          <w:szCs w:val="21"/>
          <w:lang w:val="en-US"/>
        </w:rPr>
        <w:t>22</w:t>
      </w:r>
      <w:r w:rsidR="00732C74" w:rsidRPr="00B84CB0">
        <w:rPr>
          <w:rFonts w:ascii="Times New Roman" w:eastAsiaTheme="minorEastAsia" w:hAnsiTheme="minorEastAsia" w:hint="eastAsia"/>
          <w:sz w:val="21"/>
          <w:szCs w:val="21"/>
          <w:lang w:val="en-US"/>
        </w:rPr>
        <w:t>日</w:t>
      </w:r>
      <w:r w:rsidR="00CC5E23" w:rsidRPr="00B84CB0">
        <w:rPr>
          <w:rFonts w:ascii="Times New Roman" w:eastAsiaTheme="minorEastAsia" w:hAnsi="Times New Roman"/>
          <w:sz w:val="21"/>
          <w:szCs w:val="21"/>
          <w:lang w:val="en-US"/>
        </w:rPr>
        <w:br/>
      </w:r>
      <w:r w:rsidR="001955F8" w:rsidRPr="00B84CB0">
        <w:rPr>
          <w:rFonts w:ascii="Times New Roman" w:eastAsiaTheme="minorEastAsia" w:hAnsi="Times New Roman"/>
          <w:sz w:val="20"/>
          <w:szCs w:val="20"/>
          <w:lang w:val="en-US"/>
        </w:rPr>
        <w:br/>
      </w:r>
      <w:r w:rsidR="001955F8" w:rsidRPr="00B84CB0">
        <w:rPr>
          <w:rFonts w:ascii="Times New Roman" w:eastAsiaTheme="minorEastAsia" w:hAnsi="Times New Roman"/>
          <w:sz w:val="20"/>
          <w:szCs w:val="20"/>
          <w:lang w:val="en-US"/>
        </w:rPr>
        <w:t xml:space="preserve">　</w:t>
      </w:r>
    </w:p>
    <w:sectPr w:rsidR="00B303B3" w:rsidRPr="00B84CB0"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E5B" w:rsidRDefault="00003E5B" w:rsidP="00011B89">
      <w:r>
        <w:separator/>
      </w:r>
    </w:p>
  </w:endnote>
  <w:endnote w:type="continuationSeparator" w:id="1">
    <w:p w:rsidR="00003E5B" w:rsidRDefault="00003E5B"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133D40">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881C7F" w:rsidRPr="00881C7F">
          <w:rPr>
            <w:rFonts w:ascii="Times New Roman" w:hAnsi="Times New Roman"/>
            <w:noProof/>
            <w:lang w:val="zh-CN"/>
          </w:rPr>
          <w:t>3</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E5B" w:rsidRDefault="00003E5B" w:rsidP="00011B89">
      <w:r>
        <w:separator/>
      </w:r>
    </w:p>
  </w:footnote>
  <w:footnote w:type="continuationSeparator" w:id="1">
    <w:p w:rsidR="00003E5B" w:rsidRDefault="00003E5B"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03E5B"/>
    <w:rsid w:val="00011B89"/>
    <w:rsid w:val="00020C9F"/>
    <w:rsid w:val="00022653"/>
    <w:rsid w:val="000258B3"/>
    <w:rsid w:val="000364EE"/>
    <w:rsid w:val="0004138A"/>
    <w:rsid w:val="00044A70"/>
    <w:rsid w:val="00045536"/>
    <w:rsid w:val="00065BBA"/>
    <w:rsid w:val="00066FC7"/>
    <w:rsid w:val="0007453E"/>
    <w:rsid w:val="00080027"/>
    <w:rsid w:val="00080F1B"/>
    <w:rsid w:val="00082AA6"/>
    <w:rsid w:val="00087631"/>
    <w:rsid w:val="0009643D"/>
    <w:rsid w:val="000A6ECD"/>
    <w:rsid w:val="000B01B0"/>
    <w:rsid w:val="000B0704"/>
    <w:rsid w:val="000B6E84"/>
    <w:rsid w:val="000C475C"/>
    <w:rsid w:val="000C5501"/>
    <w:rsid w:val="000D1EA1"/>
    <w:rsid w:val="000D2C96"/>
    <w:rsid w:val="000D5D60"/>
    <w:rsid w:val="000E18F0"/>
    <w:rsid w:val="000E2424"/>
    <w:rsid w:val="000E3070"/>
    <w:rsid w:val="000E4E30"/>
    <w:rsid w:val="000E6389"/>
    <w:rsid w:val="00133D40"/>
    <w:rsid w:val="001345E0"/>
    <w:rsid w:val="0013549E"/>
    <w:rsid w:val="001432EB"/>
    <w:rsid w:val="00150B9F"/>
    <w:rsid w:val="00155321"/>
    <w:rsid w:val="00160315"/>
    <w:rsid w:val="0016631E"/>
    <w:rsid w:val="00171F32"/>
    <w:rsid w:val="00177D14"/>
    <w:rsid w:val="00192F18"/>
    <w:rsid w:val="001955F8"/>
    <w:rsid w:val="001A3BDE"/>
    <w:rsid w:val="001A7421"/>
    <w:rsid w:val="001B3160"/>
    <w:rsid w:val="001C6ADA"/>
    <w:rsid w:val="001D7AC7"/>
    <w:rsid w:val="001E22CF"/>
    <w:rsid w:val="001E2522"/>
    <w:rsid w:val="001E537E"/>
    <w:rsid w:val="001F0A72"/>
    <w:rsid w:val="001F4774"/>
    <w:rsid w:val="001F53D8"/>
    <w:rsid w:val="00202BBB"/>
    <w:rsid w:val="00204AF3"/>
    <w:rsid w:val="00206957"/>
    <w:rsid w:val="00212E6F"/>
    <w:rsid w:val="002363AF"/>
    <w:rsid w:val="00244C1E"/>
    <w:rsid w:val="00245C48"/>
    <w:rsid w:val="00256FEF"/>
    <w:rsid w:val="002625B5"/>
    <w:rsid w:val="002669A3"/>
    <w:rsid w:val="002775E3"/>
    <w:rsid w:val="00277DEF"/>
    <w:rsid w:val="002818C2"/>
    <w:rsid w:val="00293D7C"/>
    <w:rsid w:val="002A2DE8"/>
    <w:rsid w:val="002A495C"/>
    <w:rsid w:val="002A50A2"/>
    <w:rsid w:val="002B45B9"/>
    <w:rsid w:val="002B6D67"/>
    <w:rsid w:val="002C5394"/>
    <w:rsid w:val="002C5B7D"/>
    <w:rsid w:val="002C68E3"/>
    <w:rsid w:val="002C747A"/>
    <w:rsid w:val="002C767B"/>
    <w:rsid w:val="002D06FB"/>
    <w:rsid w:val="002D78DF"/>
    <w:rsid w:val="002E5166"/>
    <w:rsid w:val="002E73DF"/>
    <w:rsid w:val="0030044A"/>
    <w:rsid w:val="0030265D"/>
    <w:rsid w:val="00303D72"/>
    <w:rsid w:val="003076EC"/>
    <w:rsid w:val="00313941"/>
    <w:rsid w:val="00315156"/>
    <w:rsid w:val="0031783E"/>
    <w:rsid w:val="00321008"/>
    <w:rsid w:val="00321E3D"/>
    <w:rsid w:val="00323465"/>
    <w:rsid w:val="00324143"/>
    <w:rsid w:val="00335342"/>
    <w:rsid w:val="00337165"/>
    <w:rsid w:val="003430FA"/>
    <w:rsid w:val="00344C28"/>
    <w:rsid w:val="003554A0"/>
    <w:rsid w:val="003642D3"/>
    <w:rsid w:val="00374BA2"/>
    <w:rsid w:val="00376449"/>
    <w:rsid w:val="00376709"/>
    <w:rsid w:val="00385092"/>
    <w:rsid w:val="00392B0B"/>
    <w:rsid w:val="0039479B"/>
    <w:rsid w:val="00394C75"/>
    <w:rsid w:val="00397CA8"/>
    <w:rsid w:val="003A1A2C"/>
    <w:rsid w:val="003A710E"/>
    <w:rsid w:val="003B0330"/>
    <w:rsid w:val="003C2FEE"/>
    <w:rsid w:val="003D06CB"/>
    <w:rsid w:val="003D36DF"/>
    <w:rsid w:val="003E341E"/>
    <w:rsid w:val="003E3892"/>
    <w:rsid w:val="003E46C2"/>
    <w:rsid w:val="003F111C"/>
    <w:rsid w:val="003F55EC"/>
    <w:rsid w:val="003F6641"/>
    <w:rsid w:val="004027B4"/>
    <w:rsid w:val="00403B38"/>
    <w:rsid w:val="004048C1"/>
    <w:rsid w:val="00411797"/>
    <w:rsid w:val="0041486A"/>
    <w:rsid w:val="004165A2"/>
    <w:rsid w:val="00424E6F"/>
    <w:rsid w:val="004322A2"/>
    <w:rsid w:val="00432B25"/>
    <w:rsid w:val="00460B4E"/>
    <w:rsid w:val="00460E14"/>
    <w:rsid w:val="0046757A"/>
    <w:rsid w:val="004869CC"/>
    <w:rsid w:val="00486A9C"/>
    <w:rsid w:val="00487EEA"/>
    <w:rsid w:val="004B223A"/>
    <w:rsid w:val="004C0CE5"/>
    <w:rsid w:val="004C684B"/>
    <w:rsid w:val="004C7FB7"/>
    <w:rsid w:val="004D23BD"/>
    <w:rsid w:val="004E4A68"/>
    <w:rsid w:val="004E56BA"/>
    <w:rsid w:val="00501EF6"/>
    <w:rsid w:val="00502F68"/>
    <w:rsid w:val="0050640A"/>
    <w:rsid w:val="00523317"/>
    <w:rsid w:val="005235A2"/>
    <w:rsid w:val="00523A95"/>
    <w:rsid w:val="00523E9A"/>
    <w:rsid w:val="00532157"/>
    <w:rsid w:val="0053308F"/>
    <w:rsid w:val="0053519B"/>
    <w:rsid w:val="00535B0D"/>
    <w:rsid w:val="00555F71"/>
    <w:rsid w:val="005723C4"/>
    <w:rsid w:val="00574C1E"/>
    <w:rsid w:val="005806BC"/>
    <w:rsid w:val="005808C5"/>
    <w:rsid w:val="00581096"/>
    <w:rsid w:val="005832EA"/>
    <w:rsid w:val="00584E46"/>
    <w:rsid w:val="0059613D"/>
    <w:rsid w:val="005A1886"/>
    <w:rsid w:val="005A2BB2"/>
    <w:rsid w:val="005B044C"/>
    <w:rsid w:val="005B391E"/>
    <w:rsid w:val="005C75AB"/>
    <w:rsid w:val="005D64B7"/>
    <w:rsid w:val="005E35A2"/>
    <w:rsid w:val="005E4A25"/>
    <w:rsid w:val="005F15EC"/>
    <w:rsid w:val="005F66F9"/>
    <w:rsid w:val="005F681D"/>
    <w:rsid w:val="006025C4"/>
    <w:rsid w:val="006032AA"/>
    <w:rsid w:val="0060348B"/>
    <w:rsid w:val="00604C30"/>
    <w:rsid w:val="00612C9D"/>
    <w:rsid w:val="00615327"/>
    <w:rsid w:val="00617A50"/>
    <w:rsid w:val="0063172F"/>
    <w:rsid w:val="00635DE5"/>
    <w:rsid w:val="006374F3"/>
    <w:rsid w:val="006520EB"/>
    <w:rsid w:val="00657D3E"/>
    <w:rsid w:val="006608DE"/>
    <w:rsid w:val="00663AD5"/>
    <w:rsid w:val="00667A6B"/>
    <w:rsid w:val="006712B1"/>
    <w:rsid w:val="006741E7"/>
    <w:rsid w:val="0069074B"/>
    <w:rsid w:val="006927EA"/>
    <w:rsid w:val="006A171B"/>
    <w:rsid w:val="006A2817"/>
    <w:rsid w:val="006A3372"/>
    <w:rsid w:val="006A5125"/>
    <w:rsid w:val="006A6785"/>
    <w:rsid w:val="006D68B8"/>
    <w:rsid w:val="006E09AA"/>
    <w:rsid w:val="006E1966"/>
    <w:rsid w:val="006F2015"/>
    <w:rsid w:val="00711286"/>
    <w:rsid w:val="007119A5"/>
    <w:rsid w:val="00712D38"/>
    <w:rsid w:val="00715564"/>
    <w:rsid w:val="00716794"/>
    <w:rsid w:val="00720E46"/>
    <w:rsid w:val="00724A74"/>
    <w:rsid w:val="0072630E"/>
    <w:rsid w:val="00730149"/>
    <w:rsid w:val="0073148B"/>
    <w:rsid w:val="0073204A"/>
    <w:rsid w:val="00732C74"/>
    <w:rsid w:val="007345AF"/>
    <w:rsid w:val="00735F12"/>
    <w:rsid w:val="007402F1"/>
    <w:rsid w:val="00746EEC"/>
    <w:rsid w:val="007511D3"/>
    <w:rsid w:val="007577D9"/>
    <w:rsid w:val="00762B68"/>
    <w:rsid w:val="00762BE1"/>
    <w:rsid w:val="007655D7"/>
    <w:rsid w:val="0076585B"/>
    <w:rsid w:val="00773CFA"/>
    <w:rsid w:val="00775AF3"/>
    <w:rsid w:val="007807B7"/>
    <w:rsid w:val="007809B0"/>
    <w:rsid w:val="00786FD4"/>
    <w:rsid w:val="007A7FFC"/>
    <w:rsid w:val="007B11F0"/>
    <w:rsid w:val="007C7429"/>
    <w:rsid w:val="007D30D5"/>
    <w:rsid w:val="007D331C"/>
    <w:rsid w:val="007D492A"/>
    <w:rsid w:val="007D6B57"/>
    <w:rsid w:val="007F4BF0"/>
    <w:rsid w:val="0080372A"/>
    <w:rsid w:val="00805CA0"/>
    <w:rsid w:val="008121EB"/>
    <w:rsid w:val="00823124"/>
    <w:rsid w:val="00845D3D"/>
    <w:rsid w:val="00845F74"/>
    <w:rsid w:val="00852F3D"/>
    <w:rsid w:val="00856FBD"/>
    <w:rsid w:val="00866DB5"/>
    <w:rsid w:val="00874961"/>
    <w:rsid w:val="0087554F"/>
    <w:rsid w:val="008808D0"/>
    <w:rsid w:val="00881C7F"/>
    <w:rsid w:val="008838BF"/>
    <w:rsid w:val="008926D1"/>
    <w:rsid w:val="00893CBC"/>
    <w:rsid w:val="008963DF"/>
    <w:rsid w:val="008A48B1"/>
    <w:rsid w:val="008A67F9"/>
    <w:rsid w:val="008A7DD4"/>
    <w:rsid w:val="008B5E01"/>
    <w:rsid w:val="008D04F8"/>
    <w:rsid w:val="008F26FC"/>
    <w:rsid w:val="00901B72"/>
    <w:rsid w:val="009058F1"/>
    <w:rsid w:val="009060E7"/>
    <w:rsid w:val="009144B4"/>
    <w:rsid w:val="00932531"/>
    <w:rsid w:val="00933ECF"/>
    <w:rsid w:val="009359B5"/>
    <w:rsid w:val="00941CE7"/>
    <w:rsid w:val="009443A6"/>
    <w:rsid w:val="00954F77"/>
    <w:rsid w:val="009555BD"/>
    <w:rsid w:val="00963957"/>
    <w:rsid w:val="0098304A"/>
    <w:rsid w:val="00983491"/>
    <w:rsid w:val="0098398E"/>
    <w:rsid w:val="0099502C"/>
    <w:rsid w:val="00995A44"/>
    <w:rsid w:val="009A2497"/>
    <w:rsid w:val="009B1EDA"/>
    <w:rsid w:val="009B5BF8"/>
    <w:rsid w:val="009B5D85"/>
    <w:rsid w:val="009C62B9"/>
    <w:rsid w:val="009D69BF"/>
    <w:rsid w:val="009F4D2C"/>
    <w:rsid w:val="009F4D4B"/>
    <w:rsid w:val="009F6178"/>
    <w:rsid w:val="009F7406"/>
    <w:rsid w:val="00A143B4"/>
    <w:rsid w:val="00A148D0"/>
    <w:rsid w:val="00A14DC0"/>
    <w:rsid w:val="00A15358"/>
    <w:rsid w:val="00A17555"/>
    <w:rsid w:val="00A17BB9"/>
    <w:rsid w:val="00A21B7D"/>
    <w:rsid w:val="00A3287E"/>
    <w:rsid w:val="00A379F8"/>
    <w:rsid w:val="00A55072"/>
    <w:rsid w:val="00A60BB8"/>
    <w:rsid w:val="00A75FFF"/>
    <w:rsid w:val="00A9690D"/>
    <w:rsid w:val="00AA0C58"/>
    <w:rsid w:val="00AA6F77"/>
    <w:rsid w:val="00AB5006"/>
    <w:rsid w:val="00AC4D4B"/>
    <w:rsid w:val="00AC65FA"/>
    <w:rsid w:val="00AD1EC3"/>
    <w:rsid w:val="00AD69A9"/>
    <w:rsid w:val="00AE2C0D"/>
    <w:rsid w:val="00AF0CF6"/>
    <w:rsid w:val="00AF4E6B"/>
    <w:rsid w:val="00AF546A"/>
    <w:rsid w:val="00B14166"/>
    <w:rsid w:val="00B16EE4"/>
    <w:rsid w:val="00B21A13"/>
    <w:rsid w:val="00B249DC"/>
    <w:rsid w:val="00B303B3"/>
    <w:rsid w:val="00B31C89"/>
    <w:rsid w:val="00B448C6"/>
    <w:rsid w:val="00B466D1"/>
    <w:rsid w:val="00B74FE7"/>
    <w:rsid w:val="00B83C2D"/>
    <w:rsid w:val="00B8414F"/>
    <w:rsid w:val="00B84CB0"/>
    <w:rsid w:val="00B868C5"/>
    <w:rsid w:val="00B922A8"/>
    <w:rsid w:val="00B924F0"/>
    <w:rsid w:val="00BA7F50"/>
    <w:rsid w:val="00BC6B04"/>
    <w:rsid w:val="00BD4E6D"/>
    <w:rsid w:val="00BF7071"/>
    <w:rsid w:val="00C0171A"/>
    <w:rsid w:val="00C04A63"/>
    <w:rsid w:val="00C10F01"/>
    <w:rsid w:val="00C20180"/>
    <w:rsid w:val="00C21DEF"/>
    <w:rsid w:val="00C22D71"/>
    <w:rsid w:val="00C24782"/>
    <w:rsid w:val="00C248B1"/>
    <w:rsid w:val="00C25CDB"/>
    <w:rsid w:val="00C26A39"/>
    <w:rsid w:val="00C3022D"/>
    <w:rsid w:val="00C32729"/>
    <w:rsid w:val="00C3280A"/>
    <w:rsid w:val="00C57685"/>
    <w:rsid w:val="00C61984"/>
    <w:rsid w:val="00C625D5"/>
    <w:rsid w:val="00C63E51"/>
    <w:rsid w:val="00C749CC"/>
    <w:rsid w:val="00C809C3"/>
    <w:rsid w:val="00C92853"/>
    <w:rsid w:val="00C93415"/>
    <w:rsid w:val="00C94950"/>
    <w:rsid w:val="00C94A62"/>
    <w:rsid w:val="00C9574F"/>
    <w:rsid w:val="00C958B6"/>
    <w:rsid w:val="00CA27C0"/>
    <w:rsid w:val="00CA5639"/>
    <w:rsid w:val="00CA6699"/>
    <w:rsid w:val="00CB0179"/>
    <w:rsid w:val="00CB33DA"/>
    <w:rsid w:val="00CB40FE"/>
    <w:rsid w:val="00CC5E23"/>
    <w:rsid w:val="00CD2F82"/>
    <w:rsid w:val="00CD456D"/>
    <w:rsid w:val="00CE0420"/>
    <w:rsid w:val="00CE0A41"/>
    <w:rsid w:val="00CE438C"/>
    <w:rsid w:val="00CF5FFC"/>
    <w:rsid w:val="00D109EA"/>
    <w:rsid w:val="00D12ACF"/>
    <w:rsid w:val="00D16288"/>
    <w:rsid w:val="00D370E4"/>
    <w:rsid w:val="00D40C5F"/>
    <w:rsid w:val="00D7082A"/>
    <w:rsid w:val="00D71C8A"/>
    <w:rsid w:val="00D81A6C"/>
    <w:rsid w:val="00D84A80"/>
    <w:rsid w:val="00D86C2A"/>
    <w:rsid w:val="00D87786"/>
    <w:rsid w:val="00D90730"/>
    <w:rsid w:val="00DA44CF"/>
    <w:rsid w:val="00DB302F"/>
    <w:rsid w:val="00DC08B3"/>
    <w:rsid w:val="00DC1E66"/>
    <w:rsid w:val="00DC37D6"/>
    <w:rsid w:val="00DC7975"/>
    <w:rsid w:val="00DD739D"/>
    <w:rsid w:val="00DE10DE"/>
    <w:rsid w:val="00DE3DC8"/>
    <w:rsid w:val="00DF3914"/>
    <w:rsid w:val="00DF5DB4"/>
    <w:rsid w:val="00DF640F"/>
    <w:rsid w:val="00E07774"/>
    <w:rsid w:val="00E14B51"/>
    <w:rsid w:val="00E17565"/>
    <w:rsid w:val="00E23C4D"/>
    <w:rsid w:val="00E257AA"/>
    <w:rsid w:val="00E30B1D"/>
    <w:rsid w:val="00E30EB4"/>
    <w:rsid w:val="00E338C7"/>
    <w:rsid w:val="00E357AF"/>
    <w:rsid w:val="00E363FB"/>
    <w:rsid w:val="00E36C41"/>
    <w:rsid w:val="00E573F4"/>
    <w:rsid w:val="00E83872"/>
    <w:rsid w:val="00E83AA5"/>
    <w:rsid w:val="00E93F76"/>
    <w:rsid w:val="00EB188B"/>
    <w:rsid w:val="00EB2E9E"/>
    <w:rsid w:val="00EC012A"/>
    <w:rsid w:val="00EE376F"/>
    <w:rsid w:val="00EF4EF9"/>
    <w:rsid w:val="00F00D4F"/>
    <w:rsid w:val="00F02345"/>
    <w:rsid w:val="00F077DC"/>
    <w:rsid w:val="00F14012"/>
    <w:rsid w:val="00F154AC"/>
    <w:rsid w:val="00F53939"/>
    <w:rsid w:val="00F62C66"/>
    <w:rsid w:val="00F648C5"/>
    <w:rsid w:val="00F71925"/>
    <w:rsid w:val="00F72119"/>
    <w:rsid w:val="00F85AB7"/>
    <w:rsid w:val="00F95B48"/>
    <w:rsid w:val="00FA2627"/>
    <w:rsid w:val="00FA5863"/>
    <w:rsid w:val="00FB14D4"/>
    <w:rsid w:val="00FB36F8"/>
    <w:rsid w:val="00FC12C5"/>
    <w:rsid w:val="00FC5DC3"/>
    <w:rsid w:val="00FC7430"/>
    <w:rsid w:val="00FD4036"/>
    <w:rsid w:val="00FE15D9"/>
    <w:rsid w:val="00FF2A7C"/>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C201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150">
      <w:bodyDiv w:val="1"/>
      <w:marLeft w:val="0"/>
      <w:marRight w:val="0"/>
      <w:marTop w:val="0"/>
      <w:marBottom w:val="0"/>
      <w:divBdr>
        <w:top w:val="none" w:sz="0" w:space="0" w:color="auto"/>
        <w:left w:val="none" w:sz="0" w:space="0" w:color="auto"/>
        <w:bottom w:val="none" w:sz="0" w:space="0" w:color="auto"/>
        <w:right w:val="none" w:sz="0" w:space="0" w:color="auto"/>
      </w:divBdr>
    </w:div>
    <w:div w:id="14767167">
      <w:bodyDiv w:val="1"/>
      <w:marLeft w:val="0"/>
      <w:marRight w:val="0"/>
      <w:marTop w:val="0"/>
      <w:marBottom w:val="0"/>
      <w:divBdr>
        <w:top w:val="none" w:sz="0" w:space="0" w:color="auto"/>
        <w:left w:val="none" w:sz="0" w:space="0" w:color="auto"/>
        <w:bottom w:val="none" w:sz="0" w:space="0" w:color="auto"/>
        <w:right w:val="none" w:sz="0" w:space="0" w:color="auto"/>
      </w:divBdr>
    </w:div>
    <w:div w:id="69544165">
      <w:bodyDiv w:val="1"/>
      <w:marLeft w:val="0"/>
      <w:marRight w:val="0"/>
      <w:marTop w:val="0"/>
      <w:marBottom w:val="0"/>
      <w:divBdr>
        <w:top w:val="none" w:sz="0" w:space="0" w:color="auto"/>
        <w:left w:val="none" w:sz="0" w:space="0" w:color="auto"/>
        <w:bottom w:val="none" w:sz="0" w:space="0" w:color="auto"/>
        <w:right w:val="none" w:sz="0" w:space="0" w:color="auto"/>
      </w:divBdr>
    </w:div>
    <w:div w:id="84032914">
      <w:bodyDiv w:val="1"/>
      <w:marLeft w:val="0"/>
      <w:marRight w:val="0"/>
      <w:marTop w:val="0"/>
      <w:marBottom w:val="0"/>
      <w:divBdr>
        <w:top w:val="none" w:sz="0" w:space="0" w:color="auto"/>
        <w:left w:val="none" w:sz="0" w:space="0" w:color="auto"/>
        <w:bottom w:val="none" w:sz="0" w:space="0" w:color="auto"/>
        <w:right w:val="none" w:sz="0" w:space="0" w:color="auto"/>
      </w:divBdr>
    </w:div>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132719693">
      <w:bodyDiv w:val="1"/>
      <w:marLeft w:val="0"/>
      <w:marRight w:val="0"/>
      <w:marTop w:val="0"/>
      <w:marBottom w:val="0"/>
      <w:divBdr>
        <w:top w:val="none" w:sz="0" w:space="0" w:color="auto"/>
        <w:left w:val="none" w:sz="0" w:space="0" w:color="auto"/>
        <w:bottom w:val="none" w:sz="0" w:space="0" w:color="auto"/>
        <w:right w:val="none" w:sz="0" w:space="0" w:color="auto"/>
      </w:divBdr>
    </w:div>
    <w:div w:id="136537270">
      <w:bodyDiv w:val="1"/>
      <w:marLeft w:val="0"/>
      <w:marRight w:val="0"/>
      <w:marTop w:val="0"/>
      <w:marBottom w:val="0"/>
      <w:divBdr>
        <w:top w:val="none" w:sz="0" w:space="0" w:color="auto"/>
        <w:left w:val="none" w:sz="0" w:space="0" w:color="auto"/>
        <w:bottom w:val="none" w:sz="0" w:space="0" w:color="auto"/>
        <w:right w:val="none" w:sz="0" w:space="0" w:color="auto"/>
      </w:divBdr>
    </w:div>
    <w:div w:id="180706854">
      <w:bodyDiv w:val="1"/>
      <w:marLeft w:val="0"/>
      <w:marRight w:val="0"/>
      <w:marTop w:val="0"/>
      <w:marBottom w:val="0"/>
      <w:divBdr>
        <w:top w:val="none" w:sz="0" w:space="0" w:color="auto"/>
        <w:left w:val="none" w:sz="0" w:space="0" w:color="auto"/>
        <w:bottom w:val="none" w:sz="0" w:space="0" w:color="auto"/>
        <w:right w:val="none" w:sz="0" w:space="0" w:color="auto"/>
      </w:divBdr>
    </w:div>
    <w:div w:id="187375648">
      <w:bodyDiv w:val="1"/>
      <w:marLeft w:val="0"/>
      <w:marRight w:val="0"/>
      <w:marTop w:val="0"/>
      <w:marBottom w:val="0"/>
      <w:divBdr>
        <w:top w:val="none" w:sz="0" w:space="0" w:color="auto"/>
        <w:left w:val="none" w:sz="0" w:space="0" w:color="auto"/>
        <w:bottom w:val="none" w:sz="0" w:space="0" w:color="auto"/>
        <w:right w:val="none" w:sz="0" w:space="0" w:color="auto"/>
      </w:divBdr>
    </w:div>
    <w:div w:id="196702458">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23879342">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4924169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67662735">
      <w:bodyDiv w:val="1"/>
      <w:marLeft w:val="0"/>
      <w:marRight w:val="0"/>
      <w:marTop w:val="0"/>
      <w:marBottom w:val="0"/>
      <w:divBdr>
        <w:top w:val="none" w:sz="0" w:space="0" w:color="auto"/>
        <w:left w:val="none" w:sz="0" w:space="0" w:color="auto"/>
        <w:bottom w:val="none" w:sz="0" w:space="0" w:color="auto"/>
        <w:right w:val="none" w:sz="0" w:space="0" w:color="auto"/>
      </w:divBdr>
    </w:div>
    <w:div w:id="270548362">
      <w:bodyDiv w:val="1"/>
      <w:marLeft w:val="0"/>
      <w:marRight w:val="0"/>
      <w:marTop w:val="0"/>
      <w:marBottom w:val="0"/>
      <w:divBdr>
        <w:top w:val="none" w:sz="0" w:space="0" w:color="auto"/>
        <w:left w:val="none" w:sz="0" w:space="0" w:color="auto"/>
        <w:bottom w:val="none" w:sz="0" w:space="0" w:color="auto"/>
        <w:right w:val="none" w:sz="0" w:space="0" w:color="auto"/>
      </w:divBdr>
    </w:div>
    <w:div w:id="284627663">
      <w:bodyDiv w:val="1"/>
      <w:marLeft w:val="0"/>
      <w:marRight w:val="0"/>
      <w:marTop w:val="0"/>
      <w:marBottom w:val="0"/>
      <w:divBdr>
        <w:top w:val="none" w:sz="0" w:space="0" w:color="auto"/>
        <w:left w:val="none" w:sz="0" w:space="0" w:color="auto"/>
        <w:bottom w:val="none" w:sz="0" w:space="0" w:color="auto"/>
        <w:right w:val="none" w:sz="0" w:space="0" w:color="auto"/>
      </w:divBdr>
    </w:div>
    <w:div w:id="303318012">
      <w:bodyDiv w:val="1"/>
      <w:marLeft w:val="0"/>
      <w:marRight w:val="0"/>
      <w:marTop w:val="0"/>
      <w:marBottom w:val="0"/>
      <w:divBdr>
        <w:top w:val="none" w:sz="0" w:space="0" w:color="auto"/>
        <w:left w:val="none" w:sz="0" w:space="0" w:color="auto"/>
        <w:bottom w:val="none" w:sz="0" w:space="0" w:color="auto"/>
        <w:right w:val="none" w:sz="0" w:space="0" w:color="auto"/>
      </w:divBdr>
    </w:div>
    <w:div w:id="312875448">
      <w:bodyDiv w:val="1"/>
      <w:marLeft w:val="0"/>
      <w:marRight w:val="0"/>
      <w:marTop w:val="0"/>
      <w:marBottom w:val="0"/>
      <w:divBdr>
        <w:top w:val="none" w:sz="0" w:space="0" w:color="auto"/>
        <w:left w:val="none" w:sz="0" w:space="0" w:color="auto"/>
        <w:bottom w:val="none" w:sz="0" w:space="0" w:color="auto"/>
        <w:right w:val="none" w:sz="0" w:space="0" w:color="auto"/>
      </w:divBdr>
    </w:div>
    <w:div w:id="358240780">
      <w:bodyDiv w:val="1"/>
      <w:marLeft w:val="0"/>
      <w:marRight w:val="0"/>
      <w:marTop w:val="0"/>
      <w:marBottom w:val="0"/>
      <w:divBdr>
        <w:top w:val="none" w:sz="0" w:space="0" w:color="auto"/>
        <w:left w:val="none" w:sz="0" w:space="0" w:color="auto"/>
        <w:bottom w:val="none" w:sz="0" w:space="0" w:color="auto"/>
        <w:right w:val="none" w:sz="0" w:space="0" w:color="auto"/>
      </w:divBdr>
    </w:div>
    <w:div w:id="363334440">
      <w:bodyDiv w:val="1"/>
      <w:marLeft w:val="0"/>
      <w:marRight w:val="0"/>
      <w:marTop w:val="0"/>
      <w:marBottom w:val="0"/>
      <w:divBdr>
        <w:top w:val="none" w:sz="0" w:space="0" w:color="auto"/>
        <w:left w:val="none" w:sz="0" w:space="0" w:color="auto"/>
        <w:bottom w:val="none" w:sz="0" w:space="0" w:color="auto"/>
        <w:right w:val="none" w:sz="0" w:space="0" w:color="auto"/>
      </w:divBdr>
    </w:div>
    <w:div w:id="374618442">
      <w:bodyDiv w:val="1"/>
      <w:marLeft w:val="0"/>
      <w:marRight w:val="0"/>
      <w:marTop w:val="0"/>
      <w:marBottom w:val="0"/>
      <w:divBdr>
        <w:top w:val="none" w:sz="0" w:space="0" w:color="auto"/>
        <w:left w:val="none" w:sz="0" w:space="0" w:color="auto"/>
        <w:bottom w:val="none" w:sz="0" w:space="0" w:color="auto"/>
        <w:right w:val="none" w:sz="0" w:space="0" w:color="auto"/>
      </w:divBdr>
    </w:div>
    <w:div w:id="407121159">
      <w:bodyDiv w:val="1"/>
      <w:marLeft w:val="0"/>
      <w:marRight w:val="0"/>
      <w:marTop w:val="0"/>
      <w:marBottom w:val="0"/>
      <w:divBdr>
        <w:top w:val="none" w:sz="0" w:space="0" w:color="auto"/>
        <w:left w:val="none" w:sz="0" w:space="0" w:color="auto"/>
        <w:bottom w:val="none" w:sz="0" w:space="0" w:color="auto"/>
        <w:right w:val="none" w:sz="0" w:space="0" w:color="auto"/>
      </w:divBdr>
    </w:div>
    <w:div w:id="418209580">
      <w:bodyDiv w:val="1"/>
      <w:marLeft w:val="0"/>
      <w:marRight w:val="0"/>
      <w:marTop w:val="0"/>
      <w:marBottom w:val="0"/>
      <w:divBdr>
        <w:top w:val="none" w:sz="0" w:space="0" w:color="auto"/>
        <w:left w:val="none" w:sz="0" w:space="0" w:color="auto"/>
        <w:bottom w:val="none" w:sz="0" w:space="0" w:color="auto"/>
        <w:right w:val="none" w:sz="0" w:space="0" w:color="auto"/>
      </w:divBdr>
    </w:div>
    <w:div w:id="434131205">
      <w:bodyDiv w:val="1"/>
      <w:marLeft w:val="0"/>
      <w:marRight w:val="0"/>
      <w:marTop w:val="0"/>
      <w:marBottom w:val="0"/>
      <w:divBdr>
        <w:top w:val="none" w:sz="0" w:space="0" w:color="auto"/>
        <w:left w:val="none" w:sz="0" w:space="0" w:color="auto"/>
        <w:bottom w:val="none" w:sz="0" w:space="0" w:color="auto"/>
        <w:right w:val="none" w:sz="0" w:space="0" w:color="auto"/>
      </w:divBdr>
    </w:div>
    <w:div w:id="436751656">
      <w:bodyDiv w:val="1"/>
      <w:marLeft w:val="0"/>
      <w:marRight w:val="0"/>
      <w:marTop w:val="0"/>
      <w:marBottom w:val="0"/>
      <w:divBdr>
        <w:top w:val="none" w:sz="0" w:space="0" w:color="auto"/>
        <w:left w:val="none" w:sz="0" w:space="0" w:color="auto"/>
        <w:bottom w:val="none" w:sz="0" w:space="0" w:color="auto"/>
        <w:right w:val="none" w:sz="0" w:space="0" w:color="auto"/>
      </w:divBdr>
    </w:div>
    <w:div w:id="453595598">
      <w:bodyDiv w:val="1"/>
      <w:marLeft w:val="0"/>
      <w:marRight w:val="0"/>
      <w:marTop w:val="0"/>
      <w:marBottom w:val="0"/>
      <w:divBdr>
        <w:top w:val="none" w:sz="0" w:space="0" w:color="auto"/>
        <w:left w:val="none" w:sz="0" w:space="0" w:color="auto"/>
        <w:bottom w:val="none" w:sz="0" w:space="0" w:color="auto"/>
        <w:right w:val="none" w:sz="0" w:space="0" w:color="auto"/>
      </w:divBdr>
    </w:div>
    <w:div w:id="474227470">
      <w:bodyDiv w:val="1"/>
      <w:marLeft w:val="0"/>
      <w:marRight w:val="0"/>
      <w:marTop w:val="0"/>
      <w:marBottom w:val="0"/>
      <w:divBdr>
        <w:top w:val="none" w:sz="0" w:space="0" w:color="auto"/>
        <w:left w:val="none" w:sz="0" w:space="0" w:color="auto"/>
        <w:bottom w:val="none" w:sz="0" w:space="0" w:color="auto"/>
        <w:right w:val="none" w:sz="0" w:space="0" w:color="auto"/>
      </w:divBdr>
    </w:div>
    <w:div w:id="529949293">
      <w:bodyDiv w:val="1"/>
      <w:marLeft w:val="0"/>
      <w:marRight w:val="0"/>
      <w:marTop w:val="0"/>
      <w:marBottom w:val="0"/>
      <w:divBdr>
        <w:top w:val="none" w:sz="0" w:space="0" w:color="auto"/>
        <w:left w:val="none" w:sz="0" w:space="0" w:color="auto"/>
        <w:bottom w:val="none" w:sz="0" w:space="0" w:color="auto"/>
        <w:right w:val="none" w:sz="0" w:space="0" w:color="auto"/>
      </w:divBdr>
    </w:div>
    <w:div w:id="547179796">
      <w:bodyDiv w:val="1"/>
      <w:marLeft w:val="0"/>
      <w:marRight w:val="0"/>
      <w:marTop w:val="0"/>
      <w:marBottom w:val="0"/>
      <w:divBdr>
        <w:top w:val="none" w:sz="0" w:space="0" w:color="auto"/>
        <w:left w:val="none" w:sz="0" w:space="0" w:color="auto"/>
        <w:bottom w:val="none" w:sz="0" w:space="0" w:color="auto"/>
        <w:right w:val="none" w:sz="0" w:space="0" w:color="auto"/>
      </w:divBdr>
    </w:div>
    <w:div w:id="573123564">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661587894">
      <w:bodyDiv w:val="1"/>
      <w:marLeft w:val="0"/>
      <w:marRight w:val="0"/>
      <w:marTop w:val="0"/>
      <w:marBottom w:val="0"/>
      <w:divBdr>
        <w:top w:val="none" w:sz="0" w:space="0" w:color="auto"/>
        <w:left w:val="none" w:sz="0" w:space="0" w:color="auto"/>
        <w:bottom w:val="none" w:sz="0" w:space="0" w:color="auto"/>
        <w:right w:val="none" w:sz="0" w:space="0" w:color="auto"/>
      </w:divBdr>
    </w:div>
    <w:div w:id="665398252">
      <w:bodyDiv w:val="1"/>
      <w:marLeft w:val="0"/>
      <w:marRight w:val="0"/>
      <w:marTop w:val="0"/>
      <w:marBottom w:val="0"/>
      <w:divBdr>
        <w:top w:val="none" w:sz="0" w:space="0" w:color="auto"/>
        <w:left w:val="none" w:sz="0" w:space="0" w:color="auto"/>
        <w:bottom w:val="none" w:sz="0" w:space="0" w:color="auto"/>
        <w:right w:val="none" w:sz="0" w:space="0" w:color="auto"/>
      </w:divBdr>
    </w:div>
    <w:div w:id="674259440">
      <w:bodyDiv w:val="1"/>
      <w:marLeft w:val="0"/>
      <w:marRight w:val="0"/>
      <w:marTop w:val="0"/>
      <w:marBottom w:val="0"/>
      <w:divBdr>
        <w:top w:val="none" w:sz="0" w:space="0" w:color="auto"/>
        <w:left w:val="none" w:sz="0" w:space="0" w:color="auto"/>
        <w:bottom w:val="none" w:sz="0" w:space="0" w:color="auto"/>
        <w:right w:val="none" w:sz="0" w:space="0" w:color="auto"/>
      </w:divBdr>
    </w:div>
    <w:div w:id="703360154">
      <w:bodyDiv w:val="1"/>
      <w:marLeft w:val="0"/>
      <w:marRight w:val="0"/>
      <w:marTop w:val="0"/>
      <w:marBottom w:val="0"/>
      <w:divBdr>
        <w:top w:val="none" w:sz="0" w:space="0" w:color="auto"/>
        <w:left w:val="none" w:sz="0" w:space="0" w:color="auto"/>
        <w:bottom w:val="none" w:sz="0" w:space="0" w:color="auto"/>
        <w:right w:val="none" w:sz="0" w:space="0" w:color="auto"/>
      </w:divBdr>
    </w:div>
    <w:div w:id="709035056">
      <w:bodyDiv w:val="1"/>
      <w:marLeft w:val="0"/>
      <w:marRight w:val="0"/>
      <w:marTop w:val="0"/>
      <w:marBottom w:val="0"/>
      <w:divBdr>
        <w:top w:val="none" w:sz="0" w:space="0" w:color="auto"/>
        <w:left w:val="none" w:sz="0" w:space="0" w:color="auto"/>
        <w:bottom w:val="none" w:sz="0" w:space="0" w:color="auto"/>
        <w:right w:val="none" w:sz="0" w:space="0" w:color="auto"/>
      </w:divBdr>
    </w:div>
    <w:div w:id="752121458">
      <w:bodyDiv w:val="1"/>
      <w:marLeft w:val="0"/>
      <w:marRight w:val="0"/>
      <w:marTop w:val="0"/>
      <w:marBottom w:val="0"/>
      <w:divBdr>
        <w:top w:val="none" w:sz="0" w:space="0" w:color="auto"/>
        <w:left w:val="none" w:sz="0" w:space="0" w:color="auto"/>
        <w:bottom w:val="none" w:sz="0" w:space="0" w:color="auto"/>
        <w:right w:val="none" w:sz="0" w:space="0" w:color="auto"/>
      </w:divBdr>
    </w:div>
    <w:div w:id="765032798">
      <w:bodyDiv w:val="1"/>
      <w:marLeft w:val="0"/>
      <w:marRight w:val="0"/>
      <w:marTop w:val="0"/>
      <w:marBottom w:val="0"/>
      <w:divBdr>
        <w:top w:val="none" w:sz="0" w:space="0" w:color="auto"/>
        <w:left w:val="none" w:sz="0" w:space="0" w:color="auto"/>
        <w:bottom w:val="none" w:sz="0" w:space="0" w:color="auto"/>
        <w:right w:val="none" w:sz="0" w:space="0" w:color="auto"/>
      </w:divBdr>
    </w:div>
    <w:div w:id="808088446">
      <w:bodyDiv w:val="1"/>
      <w:marLeft w:val="0"/>
      <w:marRight w:val="0"/>
      <w:marTop w:val="0"/>
      <w:marBottom w:val="0"/>
      <w:divBdr>
        <w:top w:val="none" w:sz="0" w:space="0" w:color="auto"/>
        <w:left w:val="none" w:sz="0" w:space="0" w:color="auto"/>
        <w:bottom w:val="none" w:sz="0" w:space="0" w:color="auto"/>
        <w:right w:val="none" w:sz="0" w:space="0" w:color="auto"/>
      </w:divBdr>
    </w:div>
    <w:div w:id="827092794">
      <w:bodyDiv w:val="1"/>
      <w:marLeft w:val="0"/>
      <w:marRight w:val="0"/>
      <w:marTop w:val="0"/>
      <w:marBottom w:val="0"/>
      <w:divBdr>
        <w:top w:val="none" w:sz="0" w:space="0" w:color="auto"/>
        <w:left w:val="none" w:sz="0" w:space="0" w:color="auto"/>
        <w:bottom w:val="none" w:sz="0" w:space="0" w:color="auto"/>
        <w:right w:val="none" w:sz="0" w:space="0" w:color="auto"/>
      </w:divBdr>
    </w:div>
    <w:div w:id="869681611">
      <w:bodyDiv w:val="1"/>
      <w:marLeft w:val="0"/>
      <w:marRight w:val="0"/>
      <w:marTop w:val="0"/>
      <w:marBottom w:val="0"/>
      <w:divBdr>
        <w:top w:val="none" w:sz="0" w:space="0" w:color="auto"/>
        <w:left w:val="none" w:sz="0" w:space="0" w:color="auto"/>
        <w:bottom w:val="none" w:sz="0" w:space="0" w:color="auto"/>
        <w:right w:val="none" w:sz="0" w:space="0" w:color="auto"/>
      </w:divBdr>
    </w:div>
    <w:div w:id="886918136">
      <w:bodyDiv w:val="1"/>
      <w:marLeft w:val="0"/>
      <w:marRight w:val="0"/>
      <w:marTop w:val="0"/>
      <w:marBottom w:val="0"/>
      <w:divBdr>
        <w:top w:val="none" w:sz="0" w:space="0" w:color="auto"/>
        <w:left w:val="none" w:sz="0" w:space="0" w:color="auto"/>
        <w:bottom w:val="none" w:sz="0" w:space="0" w:color="auto"/>
        <w:right w:val="none" w:sz="0" w:space="0" w:color="auto"/>
      </w:divBdr>
    </w:div>
    <w:div w:id="903299144">
      <w:bodyDiv w:val="1"/>
      <w:marLeft w:val="0"/>
      <w:marRight w:val="0"/>
      <w:marTop w:val="0"/>
      <w:marBottom w:val="0"/>
      <w:divBdr>
        <w:top w:val="none" w:sz="0" w:space="0" w:color="auto"/>
        <w:left w:val="none" w:sz="0" w:space="0" w:color="auto"/>
        <w:bottom w:val="none" w:sz="0" w:space="0" w:color="auto"/>
        <w:right w:val="none" w:sz="0" w:space="0" w:color="auto"/>
      </w:divBdr>
    </w:div>
    <w:div w:id="924923449">
      <w:bodyDiv w:val="1"/>
      <w:marLeft w:val="0"/>
      <w:marRight w:val="0"/>
      <w:marTop w:val="0"/>
      <w:marBottom w:val="0"/>
      <w:divBdr>
        <w:top w:val="none" w:sz="0" w:space="0" w:color="auto"/>
        <w:left w:val="none" w:sz="0" w:space="0" w:color="auto"/>
        <w:bottom w:val="none" w:sz="0" w:space="0" w:color="auto"/>
        <w:right w:val="none" w:sz="0" w:space="0" w:color="auto"/>
      </w:divBdr>
    </w:div>
    <w:div w:id="938491540">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981928823">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23477225">
      <w:bodyDiv w:val="1"/>
      <w:marLeft w:val="0"/>
      <w:marRight w:val="0"/>
      <w:marTop w:val="0"/>
      <w:marBottom w:val="0"/>
      <w:divBdr>
        <w:top w:val="none" w:sz="0" w:space="0" w:color="auto"/>
        <w:left w:val="none" w:sz="0" w:space="0" w:color="auto"/>
        <w:bottom w:val="none" w:sz="0" w:space="0" w:color="auto"/>
        <w:right w:val="none" w:sz="0" w:space="0" w:color="auto"/>
      </w:divBdr>
    </w:div>
    <w:div w:id="1078094019">
      <w:bodyDiv w:val="1"/>
      <w:marLeft w:val="0"/>
      <w:marRight w:val="0"/>
      <w:marTop w:val="0"/>
      <w:marBottom w:val="0"/>
      <w:divBdr>
        <w:top w:val="none" w:sz="0" w:space="0" w:color="auto"/>
        <w:left w:val="none" w:sz="0" w:space="0" w:color="auto"/>
        <w:bottom w:val="none" w:sz="0" w:space="0" w:color="auto"/>
        <w:right w:val="none" w:sz="0" w:space="0" w:color="auto"/>
      </w:divBdr>
    </w:div>
    <w:div w:id="1082600392">
      <w:bodyDiv w:val="1"/>
      <w:marLeft w:val="0"/>
      <w:marRight w:val="0"/>
      <w:marTop w:val="0"/>
      <w:marBottom w:val="0"/>
      <w:divBdr>
        <w:top w:val="none" w:sz="0" w:space="0" w:color="auto"/>
        <w:left w:val="none" w:sz="0" w:space="0" w:color="auto"/>
        <w:bottom w:val="none" w:sz="0" w:space="0" w:color="auto"/>
        <w:right w:val="none" w:sz="0" w:space="0" w:color="auto"/>
      </w:divBdr>
    </w:div>
    <w:div w:id="1106854516">
      <w:bodyDiv w:val="1"/>
      <w:marLeft w:val="0"/>
      <w:marRight w:val="0"/>
      <w:marTop w:val="0"/>
      <w:marBottom w:val="0"/>
      <w:divBdr>
        <w:top w:val="none" w:sz="0" w:space="0" w:color="auto"/>
        <w:left w:val="none" w:sz="0" w:space="0" w:color="auto"/>
        <w:bottom w:val="none" w:sz="0" w:space="0" w:color="auto"/>
        <w:right w:val="none" w:sz="0" w:space="0" w:color="auto"/>
      </w:divBdr>
    </w:div>
    <w:div w:id="1110932695">
      <w:bodyDiv w:val="1"/>
      <w:marLeft w:val="0"/>
      <w:marRight w:val="0"/>
      <w:marTop w:val="0"/>
      <w:marBottom w:val="0"/>
      <w:divBdr>
        <w:top w:val="none" w:sz="0" w:space="0" w:color="auto"/>
        <w:left w:val="none" w:sz="0" w:space="0" w:color="auto"/>
        <w:bottom w:val="none" w:sz="0" w:space="0" w:color="auto"/>
        <w:right w:val="none" w:sz="0" w:space="0" w:color="auto"/>
      </w:divBdr>
    </w:div>
    <w:div w:id="1125659789">
      <w:bodyDiv w:val="1"/>
      <w:marLeft w:val="0"/>
      <w:marRight w:val="0"/>
      <w:marTop w:val="0"/>
      <w:marBottom w:val="0"/>
      <w:divBdr>
        <w:top w:val="none" w:sz="0" w:space="0" w:color="auto"/>
        <w:left w:val="none" w:sz="0" w:space="0" w:color="auto"/>
        <w:bottom w:val="none" w:sz="0" w:space="0" w:color="auto"/>
        <w:right w:val="none" w:sz="0" w:space="0" w:color="auto"/>
      </w:divBdr>
    </w:div>
    <w:div w:id="1140921694">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93688715">
      <w:bodyDiv w:val="1"/>
      <w:marLeft w:val="0"/>
      <w:marRight w:val="0"/>
      <w:marTop w:val="0"/>
      <w:marBottom w:val="0"/>
      <w:divBdr>
        <w:top w:val="none" w:sz="0" w:space="0" w:color="auto"/>
        <w:left w:val="none" w:sz="0" w:space="0" w:color="auto"/>
        <w:bottom w:val="none" w:sz="0" w:space="0" w:color="auto"/>
        <w:right w:val="none" w:sz="0" w:space="0" w:color="auto"/>
      </w:divBdr>
    </w:div>
    <w:div w:id="1206715846">
      <w:bodyDiv w:val="1"/>
      <w:marLeft w:val="0"/>
      <w:marRight w:val="0"/>
      <w:marTop w:val="0"/>
      <w:marBottom w:val="0"/>
      <w:divBdr>
        <w:top w:val="none" w:sz="0" w:space="0" w:color="auto"/>
        <w:left w:val="none" w:sz="0" w:space="0" w:color="auto"/>
        <w:bottom w:val="none" w:sz="0" w:space="0" w:color="auto"/>
        <w:right w:val="none" w:sz="0" w:space="0" w:color="auto"/>
      </w:divBdr>
    </w:div>
    <w:div w:id="1292635068">
      <w:bodyDiv w:val="1"/>
      <w:marLeft w:val="0"/>
      <w:marRight w:val="0"/>
      <w:marTop w:val="0"/>
      <w:marBottom w:val="0"/>
      <w:divBdr>
        <w:top w:val="none" w:sz="0" w:space="0" w:color="auto"/>
        <w:left w:val="none" w:sz="0" w:space="0" w:color="auto"/>
        <w:bottom w:val="none" w:sz="0" w:space="0" w:color="auto"/>
        <w:right w:val="none" w:sz="0" w:space="0" w:color="auto"/>
      </w:divBdr>
    </w:div>
    <w:div w:id="1296912314">
      <w:bodyDiv w:val="1"/>
      <w:marLeft w:val="0"/>
      <w:marRight w:val="0"/>
      <w:marTop w:val="0"/>
      <w:marBottom w:val="0"/>
      <w:divBdr>
        <w:top w:val="none" w:sz="0" w:space="0" w:color="auto"/>
        <w:left w:val="none" w:sz="0" w:space="0" w:color="auto"/>
        <w:bottom w:val="none" w:sz="0" w:space="0" w:color="auto"/>
        <w:right w:val="none" w:sz="0" w:space="0" w:color="auto"/>
      </w:divBdr>
    </w:div>
    <w:div w:id="1354723902">
      <w:bodyDiv w:val="1"/>
      <w:marLeft w:val="0"/>
      <w:marRight w:val="0"/>
      <w:marTop w:val="0"/>
      <w:marBottom w:val="0"/>
      <w:divBdr>
        <w:top w:val="none" w:sz="0" w:space="0" w:color="auto"/>
        <w:left w:val="none" w:sz="0" w:space="0" w:color="auto"/>
        <w:bottom w:val="none" w:sz="0" w:space="0" w:color="auto"/>
        <w:right w:val="none" w:sz="0" w:space="0" w:color="auto"/>
      </w:divBdr>
    </w:div>
    <w:div w:id="1361932919">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400438805">
      <w:bodyDiv w:val="1"/>
      <w:marLeft w:val="0"/>
      <w:marRight w:val="0"/>
      <w:marTop w:val="0"/>
      <w:marBottom w:val="0"/>
      <w:divBdr>
        <w:top w:val="none" w:sz="0" w:space="0" w:color="auto"/>
        <w:left w:val="none" w:sz="0" w:space="0" w:color="auto"/>
        <w:bottom w:val="none" w:sz="0" w:space="0" w:color="auto"/>
        <w:right w:val="none" w:sz="0" w:space="0" w:color="auto"/>
      </w:divBdr>
    </w:div>
    <w:div w:id="1413698993">
      <w:bodyDiv w:val="1"/>
      <w:marLeft w:val="0"/>
      <w:marRight w:val="0"/>
      <w:marTop w:val="0"/>
      <w:marBottom w:val="0"/>
      <w:divBdr>
        <w:top w:val="none" w:sz="0" w:space="0" w:color="auto"/>
        <w:left w:val="none" w:sz="0" w:space="0" w:color="auto"/>
        <w:bottom w:val="none" w:sz="0" w:space="0" w:color="auto"/>
        <w:right w:val="none" w:sz="0" w:space="0" w:color="auto"/>
      </w:divBdr>
    </w:div>
    <w:div w:id="1416902256">
      <w:bodyDiv w:val="1"/>
      <w:marLeft w:val="0"/>
      <w:marRight w:val="0"/>
      <w:marTop w:val="0"/>
      <w:marBottom w:val="0"/>
      <w:divBdr>
        <w:top w:val="none" w:sz="0" w:space="0" w:color="auto"/>
        <w:left w:val="none" w:sz="0" w:space="0" w:color="auto"/>
        <w:bottom w:val="none" w:sz="0" w:space="0" w:color="auto"/>
        <w:right w:val="none" w:sz="0" w:space="0" w:color="auto"/>
      </w:divBdr>
    </w:div>
    <w:div w:id="1424378857">
      <w:bodyDiv w:val="1"/>
      <w:marLeft w:val="0"/>
      <w:marRight w:val="0"/>
      <w:marTop w:val="0"/>
      <w:marBottom w:val="0"/>
      <w:divBdr>
        <w:top w:val="none" w:sz="0" w:space="0" w:color="auto"/>
        <w:left w:val="none" w:sz="0" w:space="0" w:color="auto"/>
        <w:bottom w:val="none" w:sz="0" w:space="0" w:color="auto"/>
        <w:right w:val="none" w:sz="0" w:space="0" w:color="auto"/>
      </w:divBdr>
    </w:div>
    <w:div w:id="1465855991">
      <w:bodyDiv w:val="1"/>
      <w:marLeft w:val="0"/>
      <w:marRight w:val="0"/>
      <w:marTop w:val="0"/>
      <w:marBottom w:val="0"/>
      <w:divBdr>
        <w:top w:val="none" w:sz="0" w:space="0" w:color="auto"/>
        <w:left w:val="none" w:sz="0" w:space="0" w:color="auto"/>
        <w:bottom w:val="none" w:sz="0" w:space="0" w:color="auto"/>
        <w:right w:val="none" w:sz="0" w:space="0" w:color="auto"/>
      </w:divBdr>
    </w:div>
    <w:div w:id="1491486670">
      <w:bodyDiv w:val="1"/>
      <w:marLeft w:val="0"/>
      <w:marRight w:val="0"/>
      <w:marTop w:val="0"/>
      <w:marBottom w:val="0"/>
      <w:divBdr>
        <w:top w:val="none" w:sz="0" w:space="0" w:color="auto"/>
        <w:left w:val="none" w:sz="0" w:space="0" w:color="auto"/>
        <w:bottom w:val="none" w:sz="0" w:space="0" w:color="auto"/>
        <w:right w:val="none" w:sz="0" w:space="0" w:color="auto"/>
      </w:divBdr>
    </w:div>
    <w:div w:id="1540165158">
      <w:bodyDiv w:val="1"/>
      <w:marLeft w:val="0"/>
      <w:marRight w:val="0"/>
      <w:marTop w:val="0"/>
      <w:marBottom w:val="0"/>
      <w:divBdr>
        <w:top w:val="none" w:sz="0" w:space="0" w:color="auto"/>
        <w:left w:val="none" w:sz="0" w:space="0" w:color="auto"/>
        <w:bottom w:val="none" w:sz="0" w:space="0" w:color="auto"/>
        <w:right w:val="none" w:sz="0" w:space="0" w:color="auto"/>
      </w:divBdr>
    </w:div>
    <w:div w:id="1578829698">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611737714">
      <w:bodyDiv w:val="1"/>
      <w:marLeft w:val="0"/>
      <w:marRight w:val="0"/>
      <w:marTop w:val="0"/>
      <w:marBottom w:val="0"/>
      <w:divBdr>
        <w:top w:val="none" w:sz="0" w:space="0" w:color="auto"/>
        <w:left w:val="none" w:sz="0" w:space="0" w:color="auto"/>
        <w:bottom w:val="none" w:sz="0" w:space="0" w:color="auto"/>
        <w:right w:val="none" w:sz="0" w:space="0" w:color="auto"/>
      </w:divBdr>
    </w:div>
    <w:div w:id="1633168342">
      <w:bodyDiv w:val="1"/>
      <w:marLeft w:val="0"/>
      <w:marRight w:val="0"/>
      <w:marTop w:val="0"/>
      <w:marBottom w:val="0"/>
      <w:divBdr>
        <w:top w:val="none" w:sz="0" w:space="0" w:color="auto"/>
        <w:left w:val="none" w:sz="0" w:space="0" w:color="auto"/>
        <w:bottom w:val="none" w:sz="0" w:space="0" w:color="auto"/>
        <w:right w:val="none" w:sz="0" w:space="0" w:color="auto"/>
      </w:divBdr>
    </w:div>
    <w:div w:id="1637948811">
      <w:bodyDiv w:val="1"/>
      <w:marLeft w:val="0"/>
      <w:marRight w:val="0"/>
      <w:marTop w:val="0"/>
      <w:marBottom w:val="0"/>
      <w:divBdr>
        <w:top w:val="none" w:sz="0" w:space="0" w:color="auto"/>
        <w:left w:val="none" w:sz="0" w:space="0" w:color="auto"/>
        <w:bottom w:val="none" w:sz="0" w:space="0" w:color="auto"/>
        <w:right w:val="none" w:sz="0" w:space="0" w:color="auto"/>
      </w:divBdr>
    </w:div>
    <w:div w:id="1693870769">
      <w:bodyDiv w:val="1"/>
      <w:marLeft w:val="0"/>
      <w:marRight w:val="0"/>
      <w:marTop w:val="0"/>
      <w:marBottom w:val="0"/>
      <w:divBdr>
        <w:top w:val="none" w:sz="0" w:space="0" w:color="auto"/>
        <w:left w:val="none" w:sz="0" w:space="0" w:color="auto"/>
        <w:bottom w:val="none" w:sz="0" w:space="0" w:color="auto"/>
        <w:right w:val="none" w:sz="0" w:space="0" w:color="auto"/>
      </w:divBdr>
    </w:div>
    <w:div w:id="1704742766">
      <w:bodyDiv w:val="1"/>
      <w:marLeft w:val="0"/>
      <w:marRight w:val="0"/>
      <w:marTop w:val="0"/>
      <w:marBottom w:val="0"/>
      <w:divBdr>
        <w:top w:val="none" w:sz="0" w:space="0" w:color="auto"/>
        <w:left w:val="none" w:sz="0" w:space="0" w:color="auto"/>
        <w:bottom w:val="none" w:sz="0" w:space="0" w:color="auto"/>
        <w:right w:val="none" w:sz="0" w:space="0" w:color="auto"/>
      </w:divBdr>
    </w:div>
    <w:div w:id="1709718925">
      <w:bodyDiv w:val="1"/>
      <w:marLeft w:val="0"/>
      <w:marRight w:val="0"/>
      <w:marTop w:val="0"/>
      <w:marBottom w:val="0"/>
      <w:divBdr>
        <w:top w:val="none" w:sz="0" w:space="0" w:color="auto"/>
        <w:left w:val="none" w:sz="0" w:space="0" w:color="auto"/>
        <w:bottom w:val="none" w:sz="0" w:space="0" w:color="auto"/>
        <w:right w:val="none" w:sz="0" w:space="0" w:color="auto"/>
      </w:divBdr>
    </w:div>
    <w:div w:id="1786122360">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892615601">
      <w:bodyDiv w:val="1"/>
      <w:marLeft w:val="0"/>
      <w:marRight w:val="0"/>
      <w:marTop w:val="0"/>
      <w:marBottom w:val="0"/>
      <w:divBdr>
        <w:top w:val="none" w:sz="0" w:space="0" w:color="auto"/>
        <w:left w:val="none" w:sz="0" w:space="0" w:color="auto"/>
        <w:bottom w:val="none" w:sz="0" w:space="0" w:color="auto"/>
        <w:right w:val="none" w:sz="0" w:space="0" w:color="auto"/>
      </w:divBdr>
    </w:div>
    <w:div w:id="1924945139">
      <w:bodyDiv w:val="1"/>
      <w:marLeft w:val="0"/>
      <w:marRight w:val="0"/>
      <w:marTop w:val="0"/>
      <w:marBottom w:val="0"/>
      <w:divBdr>
        <w:top w:val="none" w:sz="0" w:space="0" w:color="auto"/>
        <w:left w:val="none" w:sz="0" w:space="0" w:color="auto"/>
        <w:bottom w:val="none" w:sz="0" w:space="0" w:color="auto"/>
        <w:right w:val="none" w:sz="0" w:space="0" w:color="auto"/>
      </w:divBdr>
    </w:div>
    <w:div w:id="2041467564">
      <w:bodyDiv w:val="1"/>
      <w:marLeft w:val="0"/>
      <w:marRight w:val="0"/>
      <w:marTop w:val="0"/>
      <w:marBottom w:val="0"/>
      <w:divBdr>
        <w:top w:val="none" w:sz="0" w:space="0" w:color="auto"/>
        <w:left w:val="none" w:sz="0" w:space="0" w:color="auto"/>
        <w:bottom w:val="none" w:sz="0" w:space="0" w:color="auto"/>
        <w:right w:val="none" w:sz="0" w:space="0" w:color="auto"/>
      </w:divBdr>
    </w:div>
    <w:div w:id="2042513036">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0132350">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 w:id="2118017606">
      <w:bodyDiv w:val="1"/>
      <w:marLeft w:val="0"/>
      <w:marRight w:val="0"/>
      <w:marTop w:val="0"/>
      <w:marBottom w:val="0"/>
      <w:divBdr>
        <w:top w:val="none" w:sz="0" w:space="0" w:color="auto"/>
        <w:left w:val="none" w:sz="0" w:space="0" w:color="auto"/>
        <w:bottom w:val="none" w:sz="0" w:space="0" w:color="auto"/>
        <w:right w:val="none" w:sz="0" w:space="0" w:color="auto"/>
      </w:divBdr>
    </w:div>
    <w:div w:id="2125298005">
      <w:bodyDiv w:val="1"/>
      <w:marLeft w:val="0"/>
      <w:marRight w:val="0"/>
      <w:marTop w:val="0"/>
      <w:marBottom w:val="0"/>
      <w:divBdr>
        <w:top w:val="none" w:sz="0" w:space="0" w:color="auto"/>
        <w:left w:val="none" w:sz="0" w:space="0" w:color="auto"/>
        <w:bottom w:val="none" w:sz="0" w:space="0" w:color="auto"/>
        <w:right w:val="none" w:sz="0" w:space="0" w:color="auto"/>
      </w:divBdr>
    </w:div>
    <w:div w:id="21399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mportant%20Documents\&#25237;&#36830;\&#25237;&#36830;&#36134;&#21153;\&#25237;&#36830;&#36134;&#21153;\&#25237;&#36830;&#25253;&#21578;\2016&#24180;&#25237;&#36830;&#25253;&#21578;&#27719;&#24635;\2016&#24180;&#36134;&#25143;&#20449;&#24687;&#20844;&#21578;&#65288;&#21322;&#24180;&#24230;&#65289;\2016&#24180;&#21322;&#24180;&#24230;&#25237;&#36830;&#20020;&#26102;&#20449;&#24687;&#25259;&#38706;-&#24213;&#312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5.3186094069529823E-2"/>
          <c:y val="5.3063453523641238E-2"/>
          <c:w val="0.88397366846199876"/>
          <c:h val="0.65174061433448094"/>
        </c:manualLayout>
      </c:layout>
      <c:lineChart>
        <c:grouping val="standard"/>
        <c:ser>
          <c:idx val="1"/>
          <c:order val="1"/>
          <c:cat>
            <c:multiLvlStrRef>
              <c:f>'201506稳健'!$C$50:$C$55</c:f>
            </c:multiLvlStrRef>
          </c:cat>
          <c:val>
            <c:numRef>
              <c:f>'201506稳健'!$D$50:$D$55</c:f>
            </c:numRef>
          </c:val>
        </c:ser>
        <c:ser>
          <c:idx val="2"/>
          <c:order val="2"/>
          <c:cat>
            <c:multiLvlStrRef>
              <c:f>'[2016年半年度稳健型账户信息公告-临时信息披露.xlsx]Sheet1'!$A$4:$A$13</c:f>
            </c:multiLvlStrRef>
          </c:cat>
          <c:val>
            <c:numRef>
              <c:f>'[2016年半年度稳健型账户信息公告-临时信息披露.xlsx]Sheet1'!$B$4:$B$13</c:f>
            </c:numRef>
          </c:val>
        </c:ser>
        <c:ser>
          <c:idx val="0"/>
          <c:order val="0"/>
          <c:cat>
            <c:numRef>
              <c:f>'[2016年半年度投连临时信息披露-底稿.xlsx]国华稳健'!$B$38:$B$47</c:f>
              <c:numCache>
                <c:formatCode>yyyy/m/d</c:formatCode>
                <c:ptCount val="10"/>
                <c:pt idx="0">
                  <c:v>41788</c:v>
                </c:pt>
                <c:pt idx="1">
                  <c:v>41820</c:v>
                </c:pt>
                <c:pt idx="2">
                  <c:v>41912</c:v>
                </c:pt>
                <c:pt idx="3">
                  <c:v>42004</c:v>
                </c:pt>
                <c:pt idx="4">
                  <c:v>42094</c:v>
                </c:pt>
                <c:pt idx="5">
                  <c:v>42185</c:v>
                </c:pt>
                <c:pt idx="6">
                  <c:v>42277</c:v>
                </c:pt>
                <c:pt idx="7">
                  <c:v>42369</c:v>
                </c:pt>
                <c:pt idx="8">
                  <c:v>42460</c:v>
                </c:pt>
                <c:pt idx="9">
                  <c:v>42551</c:v>
                </c:pt>
              </c:numCache>
            </c:numRef>
          </c:cat>
          <c:val>
            <c:numRef>
              <c:f>'[2016年半年度投连临时信息披露-底稿.xlsx]国华稳健'!$C$38:$C$47</c:f>
              <c:numCache>
                <c:formatCode>General</c:formatCode>
                <c:ptCount val="10"/>
                <c:pt idx="0">
                  <c:v>1</c:v>
                </c:pt>
                <c:pt idx="1">
                  <c:v>1.00648498</c:v>
                </c:pt>
                <c:pt idx="2">
                  <c:v>1.0251942299999961</c:v>
                </c:pt>
                <c:pt idx="3">
                  <c:v>1.0442184999999999</c:v>
                </c:pt>
                <c:pt idx="4">
                  <c:v>1.0627126099999999</c:v>
                </c:pt>
                <c:pt idx="5">
                  <c:v>1.08122791</c:v>
                </c:pt>
                <c:pt idx="6">
                  <c:v>1.1000079500000031</c:v>
                </c:pt>
                <c:pt idx="7">
                  <c:v>1.1198621</c:v>
                </c:pt>
                <c:pt idx="8">
                  <c:v>1.1404992399999998</c:v>
                </c:pt>
                <c:pt idx="9">
                  <c:v>1.1436795399999999</c:v>
                </c:pt>
              </c:numCache>
            </c:numRef>
          </c:val>
        </c:ser>
        <c:marker val="1"/>
        <c:axId val="203021312"/>
        <c:axId val="85455616"/>
      </c:lineChart>
      <c:catAx>
        <c:axId val="203021312"/>
        <c:scaling>
          <c:orientation val="minMax"/>
        </c:scaling>
        <c:axPos val="b"/>
        <c:numFmt formatCode="yyyy/m/d" sourceLinked="1"/>
        <c:tickLblPos val="nextTo"/>
        <c:txPr>
          <a:bodyPr rot="-5400000" vert="horz"/>
          <a:lstStyle/>
          <a:p>
            <a:pPr>
              <a:defRPr>
                <a:latin typeface="Times New Roman" pitchFamily="18" charset="0"/>
                <a:cs typeface="Times New Roman" pitchFamily="18" charset="0"/>
              </a:defRPr>
            </a:pPr>
            <a:endParaRPr lang="zh-CN"/>
          </a:p>
        </c:txPr>
        <c:crossAx val="85455616"/>
        <c:crosses val="autoZero"/>
        <c:lblAlgn val="ctr"/>
        <c:lblOffset val="100"/>
      </c:catAx>
      <c:valAx>
        <c:axId val="85455616"/>
        <c:scaling>
          <c:orientation val="minMax"/>
        </c:scaling>
        <c:axPos val="l"/>
        <c:majorGridlines/>
        <c:numFmt formatCode="General" sourceLinked="1"/>
        <c:tickLblPos val="nextTo"/>
        <c:spPr>
          <a:noFill/>
          <a:ln>
            <a:noFill/>
          </a:ln>
        </c:spPr>
        <c:txPr>
          <a:bodyPr/>
          <a:lstStyle/>
          <a:p>
            <a:pPr>
              <a:defRPr>
                <a:latin typeface="Times New Roman" pitchFamily="18" charset="0"/>
                <a:cs typeface="Times New Roman" pitchFamily="18" charset="0"/>
              </a:defRPr>
            </a:pPr>
            <a:endParaRPr lang="zh-CN"/>
          </a:p>
        </c:txPr>
        <c:crossAx val="203021312"/>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58A48-2D3F-4A19-9C86-99EC2EA4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6</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luzm</cp:lastModifiedBy>
  <cp:revision>242</cp:revision>
  <cp:lastPrinted>2016-09-12T03:00:00Z</cp:lastPrinted>
  <dcterms:created xsi:type="dcterms:W3CDTF">2014-10-07T10:55:00Z</dcterms:created>
  <dcterms:modified xsi:type="dcterms:W3CDTF">2016-09-12T03:27:00Z</dcterms:modified>
</cp:coreProperties>
</file>