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39D" w:rsidRDefault="00B303B3">
      <w:pPr>
        <w:widowControl w:val="0"/>
        <w:spacing w:before="227"/>
        <w:rPr>
          <w:rFonts w:ascii="Times New Roman" w:eastAsia="黑体" w:hAnsi="Times New Roman"/>
          <w:b/>
          <w:kern w:val="2"/>
          <w:sz w:val="32"/>
          <w:szCs w:val="32"/>
          <w:lang w:val="en-US"/>
        </w:rPr>
      </w:pPr>
      <w:r>
        <w:rPr>
          <w:rFonts w:ascii="Times New Roman" w:eastAsia="黑体" w:hAnsi="Times New Roman"/>
          <w:b/>
          <w:noProof/>
          <w:sz w:val="52"/>
          <w:szCs w:val="52"/>
          <w:lang w:val="en-US"/>
        </w:rPr>
        <w:drawing>
          <wp:inline distT="0" distB="0" distL="0" distR="0">
            <wp:extent cx="4699591" cy="680483"/>
            <wp:effectExtent l="0" t="0" r="0" b="0"/>
            <wp:docPr id="4" name="图片 1"/>
            <wp:cNvGraphicFramePr/>
            <a:graphic xmlns:a="http://schemas.openxmlformats.org/drawingml/2006/main">
              <a:graphicData uri="http://schemas.openxmlformats.org/drawingml/2006/picture">
                <pic:pic xmlns:pic="http://schemas.openxmlformats.org/drawingml/2006/picture">
                  <pic:nvPicPr>
                    <pic:cNvPr id="6169038" name="Picture 8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4701525" cy="680763"/>
                    </a:xfrm>
                    <a:prstGeom prst="rect">
                      <a:avLst/>
                    </a:prstGeom>
                    <a:noFill/>
                    <a:ln w="9525">
                      <a:noFill/>
                      <a:miter lim="800000"/>
                      <a:headEnd/>
                      <a:tailEnd/>
                    </a:ln>
                  </pic:spPr>
                </pic:pic>
              </a:graphicData>
            </a:graphic>
          </wp:inline>
        </w:drawing>
      </w:r>
      <w:bookmarkStart w:id="0" w:name="company_ename"/>
      <w:bookmarkEnd w:id="0"/>
    </w:p>
    <w:p w:rsidR="002818C2" w:rsidRDefault="002818C2" w:rsidP="00581096">
      <w:pPr>
        <w:widowControl w:val="0"/>
        <w:spacing w:before="227"/>
        <w:jc w:val="center"/>
        <w:rPr>
          <w:rFonts w:ascii="Times New Roman" w:eastAsia="黑体" w:hAnsi="Times New Roman"/>
          <w:kern w:val="2"/>
          <w:sz w:val="32"/>
          <w:szCs w:val="32"/>
          <w:lang w:val="en-US"/>
        </w:rPr>
      </w:pPr>
    </w:p>
    <w:p w:rsidR="009C62B9" w:rsidRDefault="009C62B9" w:rsidP="00581096">
      <w:pPr>
        <w:widowControl w:val="0"/>
        <w:spacing w:before="227"/>
        <w:jc w:val="center"/>
        <w:rPr>
          <w:rFonts w:ascii="Times New Roman" w:eastAsia="黑体" w:hAnsi="Times New Roman"/>
          <w:kern w:val="2"/>
          <w:sz w:val="32"/>
          <w:szCs w:val="32"/>
          <w:lang w:val="en-US"/>
        </w:rPr>
      </w:pPr>
    </w:p>
    <w:p w:rsidR="002818C2" w:rsidRPr="001F0A72" w:rsidRDefault="00CC5E23" w:rsidP="00581096">
      <w:pPr>
        <w:widowControl w:val="0"/>
        <w:spacing w:before="227" w:line="0" w:lineRule="atLeast"/>
        <w:jc w:val="center"/>
        <w:rPr>
          <w:rFonts w:ascii="Times New Roman" w:eastAsiaTheme="minorEastAsia" w:hAnsi="Times New Roman"/>
          <w:b/>
          <w:kern w:val="2"/>
          <w:sz w:val="44"/>
          <w:szCs w:val="44"/>
          <w:lang w:val="en-US"/>
        </w:rPr>
      </w:pPr>
      <w:r w:rsidRPr="00CC5E23">
        <w:rPr>
          <w:rFonts w:ascii="Times New Roman" w:eastAsiaTheme="minorEastAsia" w:hAnsiTheme="minorEastAsia" w:hint="eastAsia"/>
          <w:b/>
          <w:kern w:val="2"/>
          <w:sz w:val="44"/>
          <w:szCs w:val="44"/>
          <w:lang w:val="en-US"/>
        </w:rPr>
        <w:t>国华人寿保险股份有限公司</w:t>
      </w:r>
    </w:p>
    <w:p w:rsidR="002818C2" w:rsidRPr="001F0A72" w:rsidRDefault="004C65DC" w:rsidP="00581096">
      <w:pPr>
        <w:widowControl w:val="0"/>
        <w:spacing w:before="227" w:line="0" w:lineRule="atLeast"/>
        <w:jc w:val="center"/>
        <w:rPr>
          <w:rFonts w:ascii="Times New Roman" w:eastAsiaTheme="minorEastAsia" w:hAnsi="Times New Roman"/>
          <w:b/>
          <w:kern w:val="2"/>
          <w:sz w:val="44"/>
          <w:szCs w:val="44"/>
          <w:lang w:val="en-US"/>
        </w:rPr>
      </w:pPr>
      <w:r w:rsidRPr="004C65DC">
        <w:rPr>
          <w:rFonts w:ascii="Times New Roman" w:eastAsiaTheme="minorEastAsia" w:hAnsiTheme="minorEastAsia" w:hint="eastAsia"/>
          <w:b/>
          <w:kern w:val="2"/>
          <w:sz w:val="44"/>
          <w:szCs w:val="44"/>
          <w:lang w:val="en-US"/>
        </w:rPr>
        <w:t>国华</w:t>
      </w:r>
      <w:r w:rsidRPr="004C65DC">
        <w:rPr>
          <w:rFonts w:ascii="Times New Roman" w:eastAsiaTheme="minorEastAsia" w:hAnsiTheme="minorEastAsia"/>
          <w:b/>
          <w:kern w:val="2"/>
          <w:sz w:val="44"/>
          <w:szCs w:val="44"/>
          <w:lang w:val="en-US"/>
        </w:rPr>
        <w:t>1</w:t>
      </w:r>
      <w:r w:rsidRPr="004C65DC">
        <w:rPr>
          <w:rFonts w:ascii="Times New Roman" w:eastAsiaTheme="minorEastAsia" w:hAnsiTheme="minorEastAsia" w:hint="eastAsia"/>
          <w:b/>
          <w:kern w:val="2"/>
          <w:sz w:val="44"/>
          <w:szCs w:val="44"/>
          <w:lang w:val="en-US"/>
        </w:rPr>
        <w:t>号稳健</w:t>
      </w:r>
      <w:r w:rsidR="00CC5E23" w:rsidRPr="00CC5E23">
        <w:rPr>
          <w:rFonts w:ascii="Times New Roman" w:eastAsiaTheme="minorEastAsia" w:hAnsiTheme="minorEastAsia" w:hint="eastAsia"/>
          <w:b/>
          <w:kern w:val="2"/>
          <w:sz w:val="44"/>
          <w:szCs w:val="44"/>
          <w:lang w:val="en-US"/>
        </w:rPr>
        <w:t>型投资连结保险投资账户</w:t>
      </w:r>
    </w:p>
    <w:p w:rsidR="002818C2" w:rsidRPr="001F0A72" w:rsidRDefault="00CC5E23" w:rsidP="00581096">
      <w:pPr>
        <w:widowControl w:val="0"/>
        <w:spacing w:before="227" w:line="0" w:lineRule="atLeast"/>
        <w:jc w:val="center"/>
        <w:rPr>
          <w:rFonts w:ascii="Times New Roman" w:eastAsiaTheme="minorEastAsia" w:hAnsi="Times New Roman"/>
          <w:b/>
          <w:kern w:val="2"/>
          <w:sz w:val="44"/>
          <w:szCs w:val="44"/>
          <w:lang w:val="en-US"/>
        </w:rPr>
      </w:pPr>
      <w:r w:rsidRPr="00CC5E23">
        <w:rPr>
          <w:rFonts w:ascii="Times New Roman" w:eastAsiaTheme="minorEastAsia" w:hAnsi="Times New Roman"/>
          <w:b/>
          <w:kern w:val="2"/>
          <w:sz w:val="44"/>
          <w:szCs w:val="44"/>
          <w:lang w:val="en-US"/>
        </w:rPr>
        <w:t>201</w:t>
      </w:r>
      <w:r w:rsidR="007E6F7C">
        <w:rPr>
          <w:rFonts w:ascii="Times New Roman" w:eastAsiaTheme="minorEastAsia" w:hAnsi="Times New Roman" w:hint="eastAsia"/>
          <w:b/>
          <w:kern w:val="2"/>
          <w:sz w:val="44"/>
          <w:szCs w:val="44"/>
          <w:lang w:val="en-US"/>
        </w:rPr>
        <w:t>6</w:t>
      </w:r>
      <w:r w:rsidR="00473649">
        <w:rPr>
          <w:rFonts w:ascii="Times New Roman" w:eastAsiaTheme="minorEastAsia" w:hAnsiTheme="minorEastAsia" w:hint="eastAsia"/>
          <w:b/>
          <w:kern w:val="2"/>
          <w:sz w:val="44"/>
          <w:szCs w:val="44"/>
          <w:lang w:val="en-US"/>
        </w:rPr>
        <w:t>年</w:t>
      </w:r>
      <w:r w:rsidR="000415DD">
        <w:rPr>
          <w:rFonts w:ascii="Times New Roman" w:eastAsiaTheme="minorEastAsia" w:hAnsiTheme="minorEastAsia" w:hint="eastAsia"/>
          <w:b/>
          <w:kern w:val="2"/>
          <w:sz w:val="44"/>
          <w:szCs w:val="44"/>
          <w:lang w:val="en-US"/>
        </w:rPr>
        <w:t>半年度</w:t>
      </w:r>
      <w:r w:rsidR="003B4903">
        <w:rPr>
          <w:rFonts w:ascii="Times New Roman" w:eastAsiaTheme="minorEastAsia" w:hAnsiTheme="minorEastAsia" w:hint="eastAsia"/>
          <w:b/>
          <w:kern w:val="2"/>
          <w:sz w:val="44"/>
          <w:szCs w:val="44"/>
          <w:lang w:val="en-US"/>
        </w:rPr>
        <w:t>信息公告</w:t>
      </w:r>
    </w:p>
    <w:p w:rsidR="002818C2" w:rsidRPr="00581096" w:rsidRDefault="002818C2" w:rsidP="00581096">
      <w:pPr>
        <w:widowControl w:val="0"/>
        <w:spacing w:before="227" w:line="0" w:lineRule="atLeast"/>
        <w:jc w:val="center"/>
        <w:rPr>
          <w:rFonts w:asciiTheme="majorEastAsia" w:eastAsiaTheme="majorEastAsia" w:hAnsiTheme="majorEastAsia"/>
          <w:b/>
          <w:kern w:val="2"/>
          <w:sz w:val="32"/>
          <w:szCs w:val="32"/>
          <w:lang w:val="en-US"/>
        </w:rPr>
      </w:pPr>
    </w:p>
    <w:p w:rsidR="002818C2" w:rsidRPr="00581096" w:rsidRDefault="002818C2" w:rsidP="00FF721F">
      <w:pPr>
        <w:rPr>
          <w:rFonts w:asciiTheme="majorEastAsia" w:eastAsiaTheme="majorEastAsia" w:hAnsiTheme="majorEastAsia"/>
          <w:b/>
          <w:sz w:val="21"/>
          <w:szCs w:val="21"/>
          <w:lang w:val="en-US"/>
        </w:rPr>
      </w:pPr>
      <w:bookmarkStart w:id="1" w:name="company_cname"/>
      <w:bookmarkStart w:id="2" w:name="year"/>
      <w:bookmarkEnd w:id="1"/>
      <w:bookmarkEnd w:id="2"/>
    </w:p>
    <w:p w:rsidR="002818C2" w:rsidRDefault="002818C2" w:rsidP="00FF721F">
      <w:pPr>
        <w:rPr>
          <w:rFonts w:ascii="Times New Roman" w:eastAsiaTheme="minorEastAsia" w:hAnsiTheme="minorEastAsia"/>
          <w:sz w:val="21"/>
          <w:szCs w:val="21"/>
          <w:lang w:val="en-US"/>
        </w:rPr>
      </w:pPr>
    </w:p>
    <w:p w:rsidR="002818C2" w:rsidRDefault="002818C2" w:rsidP="00FF721F">
      <w:pPr>
        <w:rPr>
          <w:rFonts w:ascii="Times New Roman" w:eastAsiaTheme="minorEastAsia" w:hAnsiTheme="minorEastAsia"/>
          <w:sz w:val="21"/>
          <w:szCs w:val="21"/>
          <w:lang w:val="en-US"/>
        </w:rPr>
      </w:pPr>
    </w:p>
    <w:p w:rsidR="002818C2" w:rsidRDefault="002818C2" w:rsidP="00FF721F">
      <w:pPr>
        <w:rPr>
          <w:rFonts w:ascii="Times New Roman" w:eastAsiaTheme="minorEastAsia" w:hAnsiTheme="minorEastAsia"/>
          <w:sz w:val="21"/>
          <w:szCs w:val="21"/>
          <w:lang w:val="en-US"/>
        </w:rPr>
      </w:pPr>
    </w:p>
    <w:p w:rsidR="002818C2" w:rsidRDefault="002818C2" w:rsidP="00FF721F">
      <w:pPr>
        <w:rPr>
          <w:rFonts w:ascii="Times New Roman" w:eastAsiaTheme="minorEastAsia" w:hAnsiTheme="minorEastAsia"/>
          <w:sz w:val="21"/>
          <w:szCs w:val="21"/>
          <w:lang w:val="en-US"/>
        </w:rPr>
      </w:pPr>
    </w:p>
    <w:p w:rsidR="002818C2" w:rsidRDefault="002818C2" w:rsidP="00FF721F">
      <w:pPr>
        <w:rPr>
          <w:rFonts w:ascii="Times New Roman" w:eastAsiaTheme="minorEastAsia" w:hAnsiTheme="minorEastAsia"/>
          <w:sz w:val="21"/>
          <w:szCs w:val="21"/>
          <w:lang w:val="en-US"/>
        </w:rPr>
      </w:pPr>
    </w:p>
    <w:p w:rsidR="002818C2" w:rsidRPr="00E30EB4" w:rsidRDefault="002818C2" w:rsidP="00FF721F">
      <w:pPr>
        <w:rPr>
          <w:rFonts w:ascii="Times New Roman" w:eastAsiaTheme="minorEastAsia" w:hAnsiTheme="minorEastAsia"/>
          <w:sz w:val="21"/>
          <w:szCs w:val="21"/>
          <w:lang w:val="en-US"/>
        </w:rPr>
      </w:pPr>
    </w:p>
    <w:p w:rsidR="002818C2" w:rsidRPr="00E30EB4" w:rsidRDefault="002818C2" w:rsidP="00FF721F">
      <w:pPr>
        <w:rPr>
          <w:rFonts w:ascii="Times New Roman" w:eastAsiaTheme="minorEastAsia" w:hAnsiTheme="minorEastAsia"/>
          <w:sz w:val="21"/>
          <w:szCs w:val="21"/>
          <w:lang w:val="en-US"/>
        </w:rPr>
      </w:pPr>
    </w:p>
    <w:p w:rsidR="002818C2" w:rsidRPr="001F0A72" w:rsidRDefault="002818C2" w:rsidP="00FF721F">
      <w:pPr>
        <w:rPr>
          <w:rFonts w:ascii="Times New Roman" w:eastAsiaTheme="minorEastAsia" w:hAnsi="Times New Roman"/>
          <w:sz w:val="21"/>
          <w:szCs w:val="21"/>
          <w:lang w:val="en-US"/>
        </w:rPr>
      </w:pPr>
    </w:p>
    <w:p w:rsidR="00DD739D" w:rsidRDefault="00CC5E23">
      <w:pPr>
        <w:spacing w:line="360" w:lineRule="auto"/>
        <w:jc w:val="both"/>
        <w:rPr>
          <w:rFonts w:ascii="Times New Roman" w:eastAsiaTheme="minorEastAsia" w:hAnsi="Times New Roman"/>
          <w:b/>
          <w:sz w:val="21"/>
          <w:szCs w:val="21"/>
          <w:lang w:val="en-US"/>
        </w:rPr>
      </w:pPr>
      <w:r w:rsidRPr="00CC5E23">
        <w:rPr>
          <w:rFonts w:ascii="Times New Roman" w:eastAsiaTheme="minorEastAsia" w:hAnsiTheme="minorEastAsia" w:hint="eastAsia"/>
          <w:b/>
          <w:sz w:val="21"/>
          <w:szCs w:val="21"/>
          <w:lang w:val="en-US"/>
        </w:rPr>
        <w:t>重要声明与提示：</w:t>
      </w:r>
    </w:p>
    <w:p w:rsidR="00DD739D" w:rsidRDefault="00CC5E23" w:rsidP="005F681D">
      <w:pPr>
        <w:spacing w:line="360" w:lineRule="auto"/>
        <w:ind w:rightChars="118" w:right="260" w:firstLineChars="200" w:firstLine="420"/>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本信息公告依据中国保险监督管理委员会颁布的</w:t>
      </w:r>
      <w:r w:rsidR="00334F16" w:rsidRPr="00C27D30">
        <w:rPr>
          <w:rFonts w:ascii="Times New Roman" w:eastAsiaTheme="minorEastAsia" w:hAnsiTheme="minorEastAsia"/>
          <w:sz w:val="21"/>
          <w:szCs w:val="21"/>
          <w:lang w:val="en-US"/>
        </w:rPr>
        <w:t>《</w:t>
      </w:r>
      <w:r w:rsidR="00334F16">
        <w:rPr>
          <w:rFonts w:ascii="Times New Roman" w:eastAsiaTheme="minorEastAsia" w:hAnsiTheme="minorEastAsia" w:hint="eastAsia"/>
          <w:sz w:val="21"/>
          <w:szCs w:val="21"/>
          <w:lang w:val="en-US"/>
        </w:rPr>
        <w:t>中国保监会关于规范投资连结保险投资账户有关事项的通知</w:t>
      </w:r>
      <w:r w:rsidR="00334F16" w:rsidRPr="00C27D30">
        <w:rPr>
          <w:rFonts w:ascii="Times New Roman" w:eastAsiaTheme="minorEastAsia" w:hAnsiTheme="minorEastAsia"/>
          <w:sz w:val="21"/>
          <w:szCs w:val="21"/>
          <w:lang w:val="en-US"/>
        </w:rPr>
        <w:t>》</w:t>
      </w:r>
      <w:r w:rsidRPr="00CC5E23">
        <w:rPr>
          <w:rFonts w:ascii="Times New Roman" w:eastAsiaTheme="minorEastAsia" w:hAnsiTheme="minorEastAsia" w:hint="eastAsia"/>
          <w:sz w:val="21"/>
          <w:szCs w:val="21"/>
          <w:lang w:val="en-US"/>
        </w:rPr>
        <w:t>和《人身保险新型产品信息披露管理办法》编制并发布。</w:t>
      </w:r>
    </w:p>
    <w:p w:rsidR="00DD739D" w:rsidRDefault="00CC5E23" w:rsidP="005F681D">
      <w:pPr>
        <w:spacing w:line="360" w:lineRule="auto"/>
        <w:ind w:firstLineChars="200" w:firstLine="420"/>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本公司承诺遵循有关监管规定，以诚实信用、谨慎</w:t>
      </w:r>
      <w:r w:rsidR="008E587C">
        <w:rPr>
          <w:rFonts w:ascii="Times New Roman" w:eastAsiaTheme="minorEastAsia" w:hAnsiTheme="minorEastAsia" w:hint="eastAsia"/>
          <w:sz w:val="21"/>
          <w:szCs w:val="21"/>
          <w:lang w:val="en-US"/>
        </w:rPr>
        <w:t>保守</w:t>
      </w:r>
      <w:r w:rsidRPr="00CC5E23">
        <w:rPr>
          <w:rFonts w:ascii="Times New Roman" w:eastAsiaTheme="minorEastAsia" w:hAnsiTheme="minorEastAsia" w:hint="eastAsia"/>
          <w:sz w:val="21"/>
          <w:szCs w:val="21"/>
          <w:lang w:val="en-US"/>
        </w:rPr>
        <w:t>的原则进行投资连结保险投资账户的投资。</w:t>
      </w:r>
    </w:p>
    <w:p w:rsidR="000F4357" w:rsidRDefault="00CC5E23" w:rsidP="000415DD">
      <w:pPr>
        <w:spacing w:line="360" w:lineRule="auto"/>
        <w:ind w:rightChars="118" w:right="260" w:firstLine="405"/>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本信息公告所披露数据仅代表过往业绩，并不代表其未来表现。敬请投保人注意投资风险，并仔细阅读相关保险条款和产品说明书。</w:t>
      </w:r>
    </w:p>
    <w:p w:rsidR="00DD739D" w:rsidRDefault="00CC5E23" w:rsidP="000415DD">
      <w:pPr>
        <w:spacing w:line="360" w:lineRule="auto"/>
        <w:ind w:rightChars="118" w:right="260" w:firstLine="405"/>
        <w:jc w:val="both"/>
        <w:rPr>
          <w:rFonts w:ascii="Times New Roman" w:eastAsiaTheme="minorEastAsia" w:hAnsi="Times New Roman"/>
          <w:sz w:val="21"/>
          <w:szCs w:val="21"/>
          <w:lang w:val="en-US"/>
        </w:rPr>
        <w:sectPr w:rsidR="00DD739D" w:rsidSect="00532157">
          <w:footerReference w:type="default" r:id="rId9"/>
          <w:pgSz w:w="11906" w:h="16838" w:code="9"/>
          <w:pgMar w:top="1440" w:right="1800" w:bottom="1440" w:left="1800" w:header="851" w:footer="992" w:gutter="0"/>
          <w:cols w:space="425"/>
          <w:docGrid w:type="lines" w:linePitch="312"/>
        </w:sectPr>
      </w:pPr>
      <w:r w:rsidRPr="00CC5E23">
        <w:rPr>
          <w:rFonts w:ascii="Times New Roman" w:eastAsiaTheme="minorEastAsia" w:hAnsiTheme="minorEastAsia" w:hint="eastAsia"/>
          <w:sz w:val="21"/>
          <w:szCs w:val="21"/>
          <w:lang w:val="en-US"/>
        </w:rPr>
        <w:t>本信息公告报告期为</w:t>
      </w:r>
      <w:r w:rsidRPr="00CC5E23">
        <w:rPr>
          <w:rFonts w:ascii="Times New Roman" w:eastAsiaTheme="minorEastAsia" w:hAnsi="Times New Roman"/>
          <w:sz w:val="21"/>
          <w:szCs w:val="21"/>
          <w:lang w:val="en-US"/>
        </w:rPr>
        <w:t>201</w:t>
      </w:r>
      <w:r w:rsidR="007E6F7C">
        <w:rPr>
          <w:rFonts w:ascii="Times New Roman" w:eastAsiaTheme="minorEastAsia" w:hAnsi="Times New Roman" w:hint="eastAsia"/>
          <w:sz w:val="21"/>
          <w:szCs w:val="21"/>
          <w:lang w:val="en-US"/>
        </w:rPr>
        <w:t>6</w:t>
      </w:r>
      <w:r w:rsidRPr="00CC5E23">
        <w:rPr>
          <w:rFonts w:ascii="Times New Roman" w:eastAsiaTheme="minorEastAsia" w:hAnsiTheme="minorEastAsia" w:hint="eastAsia"/>
          <w:sz w:val="21"/>
          <w:szCs w:val="21"/>
          <w:lang w:val="en-US"/>
        </w:rPr>
        <w:t>年</w:t>
      </w:r>
      <w:r w:rsidR="0028122C">
        <w:rPr>
          <w:rFonts w:ascii="Times New Roman" w:eastAsiaTheme="minorEastAsia" w:hAnsi="Times New Roman" w:hint="eastAsia"/>
          <w:sz w:val="21"/>
          <w:szCs w:val="21"/>
          <w:lang w:val="en-US"/>
        </w:rPr>
        <w:t>1</w:t>
      </w:r>
      <w:r w:rsidRPr="00CC5E23">
        <w:rPr>
          <w:rFonts w:ascii="Times New Roman" w:eastAsiaTheme="minorEastAsia" w:hAnsiTheme="minorEastAsia" w:hint="eastAsia"/>
          <w:sz w:val="21"/>
          <w:szCs w:val="21"/>
          <w:lang w:val="en-US"/>
        </w:rPr>
        <w:t>月</w:t>
      </w:r>
      <w:r w:rsidR="008E587C">
        <w:rPr>
          <w:rFonts w:ascii="Times New Roman" w:eastAsiaTheme="minorEastAsia" w:hAnsi="Times New Roman" w:hint="eastAsia"/>
          <w:sz w:val="21"/>
          <w:szCs w:val="21"/>
          <w:lang w:val="en-US"/>
        </w:rPr>
        <w:t>1</w:t>
      </w:r>
      <w:r w:rsidRPr="00CC5E23">
        <w:rPr>
          <w:rFonts w:ascii="Times New Roman" w:eastAsiaTheme="minorEastAsia" w:hAnsiTheme="minorEastAsia" w:hint="eastAsia"/>
          <w:sz w:val="21"/>
          <w:szCs w:val="21"/>
          <w:lang w:val="en-US"/>
        </w:rPr>
        <w:t>日</w:t>
      </w:r>
      <w:r w:rsidRPr="00CC5E23">
        <w:rPr>
          <w:rFonts w:ascii="Times New Roman" w:eastAsiaTheme="minorEastAsia" w:hAnsi="Times New Roman"/>
          <w:sz w:val="21"/>
          <w:szCs w:val="21"/>
          <w:lang w:val="en-US"/>
        </w:rPr>
        <w:t>-201</w:t>
      </w:r>
      <w:r w:rsidR="007E6F7C">
        <w:rPr>
          <w:rFonts w:ascii="Times New Roman" w:eastAsiaTheme="minorEastAsia" w:hAnsi="Times New Roman" w:hint="eastAsia"/>
          <w:sz w:val="21"/>
          <w:szCs w:val="21"/>
          <w:lang w:val="en-US"/>
        </w:rPr>
        <w:t>6</w:t>
      </w:r>
      <w:r w:rsidRPr="00CC5E23">
        <w:rPr>
          <w:rFonts w:ascii="Times New Roman" w:eastAsiaTheme="minorEastAsia" w:hAnsiTheme="minorEastAsia" w:hint="eastAsia"/>
          <w:sz w:val="21"/>
          <w:szCs w:val="21"/>
          <w:lang w:val="en-US"/>
        </w:rPr>
        <w:t>年</w:t>
      </w:r>
      <w:r w:rsidR="000415DD">
        <w:rPr>
          <w:rFonts w:ascii="Times New Roman" w:eastAsiaTheme="minorEastAsia" w:hAnsi="Times New Roman" w:hint="eastAsia"/>
          <w:sz w:val="21"/>
          <w:szCs w:val="21"/>
          <w:lang w:val="en-US"/>
        </w:rPr>
        <w:t>6</w:t>
      </w:r>
      <w:r w:rsidRPr="00CC5E23">
        <w:rPr>
          <w:rFonts w:ascii="Times New Roman" w:eastAsiaTheme="minorEastAsia" w:hAnsiTheme="minorEastAsia" w:hint="eastAsia"/>
          <w:sz w:val="21"/>
          <w:szCs w:val="21"/>
          <w:lang w:val="en-US"/>
        </w:rPr>
        <w:t>月</w:t>
      </w:r>
      <w:r w:rsidR="003B4903">
        <w:rPr>
          <w:rFonts w:ascii="Times New Roman" w:eastAsiaTheme="minorEastAsia" w:hAnsi="Times New Roman"/>
          <w:sz w:val="21"/>
          <w:szCs w:val="21"/>
          <w:lang w:val="en-US"/>
        </w:rPr>
        <w:t>3</w:t>
      </w:r>
      <w:r w:rsidR="000415DD">
        <w:rPr>
          <w:rFonts w:ascii="Times New Roman" w:eastAsiaTheme="minorEastAsia" w:hAnsi="Times New Roman" w:hint="eastAsia"/>
          <w:sz w:val="21"/>
          <w:szCs w:val="21"/>
          <w:lang w:val="en-US"/>
        </w:rPr>
        <w:t>0</w:t>
      </w:r>
      <w:r w:rsidRPr="00CC5E23">
        <w:rPr>
          <w:rFonts w:ascii="Times New Roman" w:eastAsiaTheme="minorEastAsia" w:hAnsiTheme="minorEastAsia" w:hint="eastAsia"/>
          <w:sz w:val="21"/>
          <w:szCs w:val="21"/>
          <w:lang w:val="en-US"/>
        </w:rPr>
        <w:t>日。</w:t>
      </w:r>
    </w:p>
    <w:p w:rsidR="004C65DC" w:rsidRPr="004C65DC" w:rsidRDefault="00CC5E23" w:rsidP="004C65DC">
      <w:pPr>
        <w:pStyle w:val="ae"/>
        <w:numPr>
          <w:ilvl w:val="0"/>
          <w:numId w:val="8"/>
        </w:numPr>
        <w:spacing w:line="360" w:lineRule="auto"/>
        <w:ind w:firstLineChars="0"/>
        <w:jc w:val="both"/>
        <w:rPr>
          <w:rFonts w:ascii="Times New Roman" w:eastAsiaTheme="minorEastAsia" w:hAnsi="Times New Roman"/>
          <w:b/>
          <w:sz w:val="21"/>
          <w:szCs w:val="21"/>
          <w:lang w:val="en-US"/>
        </w:rPr>
      </w:pPr>
      <w:r w:rsidRPr="004C65DC">
        <w:rPr>
          <w:rFonts w:ascii="Times New Roman" w:eastAsiaTheme="minorEastAsia" w:hAnsiTheme="minorEastAsia" w:hint="eastAsia"/>
          <w:b/>
          <w:sz w:val="21"/>
          <w:szCs w:val="21"/>
          <w:lang w:val="en-US"/>
        </w:rPr>
        <w:lastRenderedPageBreak/>
        <w:t>基本信息</w:t>
      </w:r>
    </w:p>
    <w:p w:rsidR="004C65DC" w:rsidRPr="004C65DC" w:rsidRDefault="004C65DC" w:rsidP="004C65DC">
      <w:pPr>
        <w:spacing w:line="360" w:lineRule="auto"/>
        <w:ind w:rightChars="118" w:right="260" w:firstLineChars="200" w:firstLine="420"/>
        <w:jc w:val="both"/>
        <w:rPr>
          <w:rFonts w:ascii="Times New Roman" w:eastAsiaTheme="minorEastAsia" w:hAnsiTheme="minorEastAsia"/>
          <w:sz w:val="21"/>
          <w:szCs w:val="21"/>
          <w:lang w:val="en-US"/>
        </w:rPr>
      </w:pPr>
      <w:r w:rsidRPr="004C65DC">
        <w:rPr>
          <w:rFonts w:ascii="Times New Roman" w:eastAsiaTheme="minorEastAsia" w:hAnsiTheme="minorEastAsia" w:hint="eastAsia"/>
          <w:sz w:val="21"/>
          <w:szCs w:val="21"/>
          <w:lang w:val="en-US"/>
        </w:rPr>
        <w:t>自</w:t>
      </w:r>
      <w:r w:rsidR="000F4357">
        <w:rPr>
          <w:rFonts w:ascii="Times New Roman" w:eastAsiaTheme="minorEastAsia" w:hAnsiTheme="minorEastAsia"/>
          <w:sz w:val="21"/>
          <w:szCs w:val="21"/>
          <w:lang w:val="en-US"/>
        </w:rPr>
        <w:t>2015</w:t>
      </w:r>
      <w:r w:rsidRPr="004C65DC">
        <w:rPr>
          <w:rFonts w:ascii="Times New Roman" w:eastAsiaTheme="minorEastAsia" w:hAnsiTheme="minorEastAsia" w:hint="eastAsia"/>
          <w:sz w:val="21"/>
          <w:szCs w:val="21"/>
          <w:lang w:val="en-US"/>
        </w:rPr>
        <w:t>年</w:t>
      </w:r>
      <w:r w:rsidRPr="004C65DC">
        <w:rPr>
          <w:rFonts w:ascii="Times New Roman" w:eastAsiaTheme="minorEastAsia" w:hAnsiTheme="minorEastAsia"/>
          <w:sz w:val="21"/>
          <w:szCs w:val="21"/>
          <w:lang w:val="en-US"/>
        </w:rPr>
        <w:t>11</w:t>
      </w:r>
      <w:r w:rsidRPr="004C65DC">
        <w:rPr>
          <w:rFonts w:ascii="Times New Roman" w:eastAsiaTheme="minorEastAsia" w:hAnsiTheme="minorEastAsia" w:hint="eastAsia"/>
          <w:sz w:val="21"/>
          <w:szCs w:val="21"/>
          <w:lang w:val="en-US"/>
        </w:rPr>
        <w:t>月起</w:t>
      </w:r>
      <w:r w:rsidR="00CC5E23" w:rsidRPr="004C65DC">
        <w:rPr>
          <w:rFonts w:ascii="Times New Roman" w:eastAsiaTheme="minorEastAsia" w:hAnsiTheme="minorEastAsia" w:hint="eastAsia"/>
          <w:sz w:val="21"/>
          <w:szCs w:val="21"/>
          <w:lang w:val="en-US"/>
        </w:rPr>
        <w:t>，</w:t>
      </w:r>
      <w:r w:rsidRPr="004C65DC">
        <w:rPr>
          <w:rFonts w:ascii="Times New Roman" w:eastAsiaTheme="minorEastAsia" w:hAnsiTheme="minorEastAsia" w:hint="eastAsia"/>
          <w:sz w:val="21"/>
          <w:szCs w:val="21"/>
          <w:lang w:val="en-US"/>
        </w:rPr>
        <w:t>公司为投资连结保险产品设立了国华</w:t>
      </w:r>
      <w:r w:rsidRPr="004C65DC">
        <w:rPr>
          <w:rFonts w:ascii="Times New Roman" w:eastAsiaTheme="minorEastAsia" w:hAnsiTheme="minorEastAsia"/>
          <w:sz w:val="21"/>
          <w:szCs w:val="21"/>
          <w:lang w:val="en-US"/>
        </w:rPr>
        <w:t>1</w:t>
      </w:r>
      <w:r w:rsidRPr="004C65DC">
        <w:rPr>
          <w:rFonts w:ascii="Times New Roman" w:eastAsiaTheme="minorEastAsia" w:hAnsiTheme="minorEastAsia" w:hint="eastAsia"/>
          <w:sz w:val="21"/>
          <w:szCs w:val="21"/>
          <w:lang w:val="en-US"/>
        </w:rPr>
        <w:t>号稳健型投资账户，该账户依照中国保监会有关规定和国华华瑞</w:t>
      </w:r>
      <w:r w:rsidRPr="004C65DC">
        <w:rPr>
          <w:rFonts w:ascii="Times New Roman" w:eastAsiaTheme="minorEastAsia" w:hAnsiTheme="minorEastAsia"/>
          <w:sz w:val="21"/>
          <w:szCs w:val="21"/>
          <w:lang w:val="en-US"/>
        </w:rPr>
        <w:t>1</w:t>
      </w:r>
      <w:r w:rsidRPr="004C65DC">
        <w:rPr>
          <w:rFonts w:ascii="Times New Roman" w:eastAsiaTheme="minorEastAsia" w:hAnsiTheme="minorEastAsia" w:hint="eastAsia"/>
          <w:sz w:val="21"/>
          <w:szCs w:val="21"/>
          <w:lang w:val="en-US"/>
        </w:rPr>
        <w:t>号年金保险（投资连结型）</w:t>
      </w:r>
      <w:r w:rsidRPr="004C65DC">
        <w:rPr>
          <w:rFonts w:ascii="Times New Roman" w:eastAsiaTheme="minorEastAsia" w:hAnsiTheme="minorEastAsia"/>
          <w:sz w:val="21"/>
          <w:szCs w:val="21"/>
          <w:lang w:val="en-US"/>
        </w:rPr>
        <w:t>A</w:t>
      </w:r>
      <w:r w:rsidRPr="004C65DC">
        <w:rPr>
          <w:rFonts w:ascii="Times New Roman" w:eastAsiaTheme="minorEastAsia" w:hAnsiTheme="minorEastAsia" w:hint="eastAsia"/>
          <w:sz w:val="21"/>
          <w:szCs w:val="21"/>
          <w:lang w:val="en-US"/>
        </w:rPr>
        <w:t>款有关条款设立，并已按规定向保监会报告。</w:t>
      </w:r>
    </w:p>
    <w:p w:rsidR="004C65DC" w:rsidRDefault="004C65DC" w:rsidP="004C65DC">
      <w:pPr>
        <w:spacing w:line="360" w:lineRule="auto"/>
        <w:ind w:rightChars="118" w:right="260" w:firstLineChars="200" w:firstLine="420"/>
        <w:jc w:val="both"/>
        <w:rPr>
          <w:rFonts w:ascii="宋体" w:hAnsi="Times New Roman" w:cs="宋体"/>
          <w:sz w:val="21"/>
          <w:szCs w:val="21"/>
          <w:lang w:val="en-US"/>
        </w:rPr>
      </w:pPr>
      <w:r w:rsidRPr="004C65DC">
        <w:rPr>
          <w:rFonts w:ascii="Times New Roman" w:eastAsiaTheme="minorEastAsia" w:hAnsiTheme="minorEastAsia" w:hint="eastAsia"/>
          <w:sz w:val="21"/>
          <w:szCs w:val="21"/>
          <w:lang w:val="en-US"/>
        </w:rPr>
        <w:t>上述投资账户采取专业化的资金运作管理方式，投资管理与投资组合均符合中国保监会</w:t>
      </w:r>
      <w:r>
        <w:rPr>
          <w:rFonts w:ascii="宋体" w:hAnsi="Times New Roman" w:cs="宋体" w:hint="eastAsia"/>
          <w:sz w:val="21"/>
          <w:szCs w:val="21"/>
          <w:lang w:val="en-US"/>
        </w:rPr>
        <w:t>相关规定和保单条款的有关内容。</w:t>
      </w:r>
    </w:p>
    <w:p w:rsidR="00AF34DB" w:rsidRDefault="00CC5E23" w:rsidP="004C65DC">
      <w:pPr>
        <w:spacing w:line="360" w:lineRule="auto"/>
        <w:ind w:rightChars="118" w:right="260" w:firstLineChars="200" w:firstLine="420"/>
        <w:jc w:val="both"/>
        <w:rPr>
          <w:rFonts w:ascii="Times New Roman" w:eastAsiaTheme="minorEastAsia" w:hAnsiTheme="minorEastAsia"/>
          <w:sz w:val="21"/>
          <w:szCs w:val="21"/>
          <w:lang w:val="en-US"/>
        </w:rPr>
      </w:pPr>
      <w:r w:rsidRPr="004E4A68">
        <w:rPr>
          <w:rFonts w:ascii="Times New Roman" w:eastAsiaTheme="minorEastAsia" w:hAnsiTheme="minorEastAsia"/>
          <w:sz w:val="21"/>
          <w:szCs w:val="21"/>
          <w:lang w:val="en-US"/>
        </w:rPr>
        <w:t>1</w:t>
      </w:r>
      <w:r w:rsidRPr="004E4A68">
        <w:rPr>
          <w:rFonts w:ascii="Times New Roman" w:eastAsiaTheme="minorEastAsia" w:hAnsiTheme="minorEastAsia" w:hint="eastAsia"/>
          <w:sz w:val="21"/>
          <w:szCs w:val="21"/>
          <w:lang w:val="en-US"/>
        </w:rPr>
        <w:t>、账户设立时间</w:t>
      </w:r>
      <w:r w:rsidRPr="00CC5E23">
        <w:rPr>
          <w:rFonts w:ascii="Times New Roman" w:eastAsiaTheme="minorEastAsia" w:hAnsiTheme="minorEastAsia" w:hint="eastAsia"/>
          <w:sz w:val="21"/>
          <w:szCs w:val="21"/>
          <w:lang w:val="en-US"/>
        </w:rPr>
        <w:t>：</w:t>
      </w:r>
      <w:r w:rsidRPr="004E4A68">
        <w:rPr>
          <w:rFonts w:ascii="Times New Roman" w:eastAsiaTheme="minorEastAsia" w:hAnsiTheme="minorEastAsia"/>
          <w:sz w:val="21"/>
          <w:szCs w:val="21"/>
          <w:lang w:val="en-US"/>
        </w:rPr>
        <w:t>201</w:t>
      </w:r>
      <w:r w:rsidR="004C65DC">
        <w:rPr>
          <w:rFonts w:ascii="Times New Roman" w:eastAsiaTheme="minorEastAsia" w:hAnsiTheme="minorEastAsia" w:hint="eastAsia"/>
          <w:sz w:val="21"/>
          <w:szCs w:val="21"/>
          <w:lang w:val="en-US"/>
        </w:rPr>
        <w:t>5</w:t>
      </w:r>
      <w:r w:rsidRPr="00CC5E23">
        <w:rPr>
          <w:rFonts w:ascii="Times New Roman" w:eastAsiaTheme="minorEastAsia" w:hAnsiTheme="minorEastAsia" w:hint="eastAsia"/>
          <w:sz w:val="21"/>
          <w:szCs w:val="21"/>
          <w:lang w:val="en-US"/>
        </w:rPr>
        <w:t>年</w:t>
      </w:r>
      <w:r w:rsidR="004C65DC">
        <w:rPr>
          <w:rFonts w:ascii="Times New Roman" w:eastAsiaTheme="minorEastAsia" w:hAnsiTheme="minorEastAsia" w:hint="eastAsia"/>
          <w:sz w:val="21"/>
          <w:szCs w:val="21"/>
          <w:lang w:val="en-US"/>
        </w:rPr>
        <w:t>11</w:t>
      </w:r>
      <w:r w:rsidRPr="00CC5E23">
        <w:rPr>
          <w:rFonts w:ascii="Times New Roman" w:eastAsiaTheme="minorEastAsia" w:hAnsiTheme="minorEastAsia" w:hint="eastAsia"/>
          <w:sz w:val="21"/>
          <w:szCs w:val="21"/>
          <w:lang w:val="en-US"/>
        </w:rPr>
        <w:t>月</w:t>
      </w:r>
      <w:r w:rsidR="008E587C">
        <w:rPr>
          <w:rFonts w:ascii="Times New Roman" w:eastAsiaTheme="minorEastAsia" w:hAnsiTheme="minorEastAsia" w:hint="eastAsia"/>
          <w:sz w:val="21"/>
          <w:szCs w:val="21"/>
          <w:lang w:val="en-US"/>
        </w:rPr>
        <w:t>1</w:t>
      </w:r>
      <w:r w:rsidR="004C65DC">
        <w:rPr>
          <w:rFonts w:ascii="Times New Roman" w:eastAsiaTheme="minorEastAsia" w:hAnsiTheme="minorEastAsia" w:hint="eastAsia"/>
          <w:sz w:val="21"/>
          <w:szCs w:val="21"/>
          <w:lang w:val="en-US"/>
        </w:rPr>
        <w:t>2</w:t>
      </w:r>
      <w:r w:rsidRPr="00CC5E23">
        <w:rPr>
          <w:rFonts w:ascii="Times New Roman" w:eastAsiaTheme="minorEastAsia" w:hAnsiTheme="minorEastAsia" w:hint="eastAsia"/>
          <w:sz w:val="21"/>
          <w:szCs w:val="21"/>
          <w:lang w:val="en-US"/>
        </w:rPr>
        <w:t>日。</w:t>
      </w:r>
      <w:r w:rsidRPr="004E4A68">
        <w:rPr>
          <w:rFonts w:ascii="Times New Roman" w:eastAsiaTheme="minorEastAsia" w:hAnsiTheme="minorEastAsia"/>
          <w:sz w:val="21"/>
          <w:szCs w:val="21"/>
          <w:lang w:val="en-US"/>
        </w:rPr>
        <w:br/>
      </w:r>
      <w:r w:rsidRPr="00CC5E23">
        <w:rPr>
          <w:rFonts w:ascii="Times New Roman" w:eastAsiaTheme="minorEastAsia" w:hAnsiTheme="minorEastAsia" w:hint="eastAsia"/>
          <w:sz w:val="21"/>
          <w:szCs w:val="21"/>
          <w:lang w:val="en-US"/>
        </w:rPr>
        <w:t xml:space="preserve">　　</w:t>
      </w:r>
      <w:r w:rsidRPr="00F3357A">
        <w:rPr>
          <w:rFonts w:ascii="Times New Roman" w:eastAsiaTheme="minorEastAsia" w:hAnsiTheme="minorEastAsia"/>
          <w:sz w:val="21"/>
          <w:szCs w:val="21"/>
          <w:lang w:val="en-US"/>
        </w:rPr>
        <w:t>2</w:t>
      </w:r>
      <w:r w:rsidRPr="00F3357A">
        <w:rPr>
          <w:rFonts w:ascii="Times New Roman" w:eastAsiaTheme="minorEastAsia" w:hAnsiTheme="minorEastAsia" w:hint="eastAsia"/>
          <w:sz w:val="21"/>
          <w:szCs w:val="21"/>
          <w:lang w:val="en-US"/>
        </w:rPr>
        <w:t>、</w:t>
      </w:r>
      <w:r w:rsidR="00AF34DB">
        <w:rPr>
          <w:rFonts w:ascii="宋体" w:hAnsi="Times New Roman" w:cs="宋体" w:hint="eastAsia"/>
          <w:sz w:val="21"/>
          <w:szCs w:val="21"/>
          <w:lang w:val="en-US"/>
        </w:rPr>
        <w:t>账户特征与投资策略</w:t>
      </w:r>
      <w:r w:rsidRPr="00F3357A">
        <w:rPr>
          <w:rFonts w:ascii="Times New Roman" w:eastAsiaTheme="minorEastAsia" w:hAnsiTheme="minorEastAsia" w:hint="eastAsia"/>
          <w:sz w:val="21"/>
          <w:szCs w:val="21"/>
          <w:lang w:val="en-US"/>
        </w:rPr>
        <w:t>：</w:t>
      </w:r>
    </w:p>
    <w:p w:rsidR="00211754" w:rsidRDefault="00AF34DB" w:rsidP="00211754">
      <w:pPr>
        <w:spacing w:line="360" w:lineRule="auto"/>
        <w:ind w:rightChars="118" w:right="260" w:firstLineChars="200" w:firstLine="420"/>
        <w:jc w:val="both"/>
        <w:rPr>
          <w:rFonts w:ascii="Times New Roman" w:eastAsiaTheme="minorEastAsia" w:hAnsiTheme="minorEastAsia"/>
          <w:sz w:val="21"/>
          <w:szCs w:val="21"/>
          <w:lang w:val="en-US"/>
        </w:rPr>
      </w:pPr>
      <w:r w:rsidRPr="00211754">
        <w:rPr>
          <w:rFonts w:ascii="Times New Roman" w:eastAsiaTheme="minorEastAsia" w:hAnsiTheme="minorEastAsia" w:hint="eastAsia"/>
          <w:sz w:val="21"/>
          <w:szCs w:val="21"/>
          <w:lang w:val="en-US"/>
        </w:rPr>
        <w:t>本投资账户为国华</w:t>
      </w:r>
      <w:r w:rsidRPr="00211754">
        <w:rPr>
          <w:rFonts w:ascii="Times New Roman" w:eastAsiaTheme="minorEastAsia" w:hAnsiTheme="minorEastAsia"/>
          <w:sz w:val="21"/>
          <w:szCs w:val="21"/>
          <w:lang w:val="en-US"/>
        </w:rPr>
        <w:t>1</w:t>
      </w:r>
      <w:r w:rsidRPr="00211754">
        <w:rPr>
          <w:rFonts w:ascii="Times New Roman" w:eastAsiaTheme="minorEastAsia" w:hAnsiTheme="minorEastAsia" w:hint="eastAsia"/>
          <w:sz w:val="21"/>
          <w:szCs w:val="21"/>
          <w:lang w:val="en-US"/>
        </w:rPr>
        <w:t>号稳健型投资账户，以固定收益类资产投资为主，在承担中等投资风险的基础上，力求获得投资账户资产的长期稳定增长。</w:t>
      </w:r>
    </w:p>
    <w:p w:rsidR="00211754" w:rsidRDefault="00AF34DB" w:rsidP="00211754">
      <w:pPr>
        <w:spacing w:line="360" w:lineRule="auto"/>
        <w:ind w:rightChars="118" w:right="260" w:firstLineChars="200" w:firstLine="420"/>
        <w:jc w:val="both"/>
        <w:rPr>
          <w:rFonts w:ascii="宋体" w:hAnsi="Times New Roman" w:cs="宋体"/>
          <w:sz w:val="21"/>
          <w:szCs w:val="21"/>
          <w:lang w:val="en-US"/>
        </w:rPr>
      </w:pPr>
      <w:r w:rsidRPr="00211754">
        <w:rPr>
          <w:rFonts w:ascii="Times New Roman" w:eastAsiaTheme="minorEastAsia" w:hAnsiTheme="minorEastAsia" w:hint="eastAsia"/>
          <w:sz w:val="21"/>
          <w:szCs w:val="21"/>
          <w:lang w:val="en-US"/>
        </w:rPr>
        <w:t>本投资账户主要通过投资银行存款、债券、债权投资计划、信托公司集合资金信托计划和银行理财产品等品种来获得稳定收益；在具体投资中，通过债券投资组合久期的变化来应对市场利率变化，与此同时，在债券品种的选择上，注重于企业债、公司债等信用产品的投资，通过对不同信用产品的深入分析，获取超额收益；在对利率走势做准确判断的同时，获取较为稳定的信用利差收益。</w:t>
      </w:r>
      <w:r w:rsidR="00CC5E23" w:rsidRPr="00F3357A">
        <w:rPr>
          <w:rFonts w:ascii="Times New Roman" w:eastAsiaTheme="minorEastAsia" w:hAnsiTheme="minorEastAsia"/>
          <w:sz w:val="21"/>
          <w:szCs w:val="21"/>
          <w:lang w:val="en-US"/>
        </w:rPr>
        <w:br/>
      </w:r>
      <w:r w:rsidR="00CC5E23" w:rsidRPr="00F3357A">
        <w:rPr>
          <w:rFonts w:ascii="Times New Roman" w:eastAsiaTheme="minorEastAsia" w:hAnsiTheme="minorEastAsia" w:hint="eastAsia"/>
          <w:sz w:val="21"/>
          <w:szCs w:val="21"/>
          <w:lang w:val="en-US"/>
        </w:rPr>
        <w:t xml:space="preserve">　　</w:t>
      </w:r>
      <w:r w:rsidR="00211754">
        <w:rPr>
          <w:rFonts w:ascii="Times New Roman" w:hAnsi="Times New Roman"/>
          <w:sz w:val="21"/>
          <w:szCs w:val="21"/>
          <w:lang w:val="en-US"/>
        </w:rPr>
        <w:t>3</w:t>
      </w:r>
      <w:r w:rsidR="00211754">
        <w:rPr>
          <w:rFonts w:ascii="宋体" w:hAnsi="Times New Roman" w:cs="宋体" w:hint="eastAsia"/>
          <w:sz w:val="21"/>
          <w:szCs w:val="21"/>
          <w:lang w:val="en-US"/>
        </w:rPr>
        <w:t>、资产配置范围及投资比例限制：</w:t>
      </w:r>
    </w:p>
    <w:p w:rsidR="00211754" w:rsidRPr="00211754" w:rsidRDefault="00211754" w:rsidP="00211754">
      <w:pPr>
        <w:spacing w:line="360" w:lineRule="auto"/>
        <w:ind w:rightChars="118" w:right="260" w:firstLineChars="200" w:firstLine="420"/>
        <w:jc w:val="both"/>
        <w:rPr>
          <w:rFonts w:ascii="Times New Roman" w:eastAsiaTheme="minorEastAsia" w:hAnsiTheme="minorEastAsia"/>
          <w:sz w:val="21"/>
          <w:szCs w:val="21"/>
          <w:lang w:val="en-US"/>
        </w:rPr>
      </w:pPr>
      <w:r w:rsidRPr="00211754">
        <w:rPr>
          <w:rFonts w:ascii="Times New Roman" w:eastAsiaTheme="minorEastAsia" w:hAnsiTheme="minorEastAsia" w:hint="eastAsia"/>
          <w:sz w:val="21"/>
          <w:szCs w:val="21"/>
          <w:lang w:val="en-US"/>
        </w:rPr>
        <w:t>本投资账户以固定收益类资产投资为主，同时也将投资于流动性资产、基础设施投资计划、不动产相关金融产品和其他金融资产，但不投资于上市权益类资产。固定收益类资产包括各种债券、银行协议存款、债券型基金等，其中各种债券包括国债、政策性金融债、央行票据、短期融资券、中期票据、企业债和公司债等。流动性资产包括现金、货币市场基金、银行活期存款、银行通知存款、剩余期限不超过</w:t>
      </w:r>
      <w:r w:rsidRPr="00211754">
        <w:rPr>
          <w:rFonts w:ascii="Times New Roman" w:eastAsiaTheme="minorEastAsia" w:hAnsiTheme="minorEastAsia"/>
          <w:sz w:val="21"/>
          <w:szCs w:val="21"/>
          <w:lang w:val="en-US"/>
        </w:rPr>
        <w:t>1</w:t>
      </w:r>
      <w:r w:rsidRPr="00211754">
        <w:rPr>
          <w:rFonts w:ascii="Times New Roman" w:eastAsiaTheme="minorEastAsia" w:hAnsiTheme="minorEastAsia" w:hint="eastAsia"/>
          <w:sz w:val="21"/>
          <w:szCs w:val="21"/>
          <w:lang w:val="en-US"/>
        </w:rPr>
        <w:t>年的政府债券和准政府债券等。不动产相关金融产品包括不动产投资计划、不动产类保险资产管理产品及其他不动产相关金融产品等。其他金融资产包括商业银行理财产品、银行业金融机构信贷资产支持证券、信托公司集合资金信托计划、证券公司专项资产管理计划、保险资产管理公司项目资产支持计划、其他保险资产管理产品等。本账户投资的基础设施投资计划、不动产相关金融产品和其他金融资产的基础资产具体包括但不限于：投资范围限于境内市场的信贷资产、存款、货币市场工具及公开发行且评级在投资级以上的债券的商业银行理财产品；投资范围限于五级分类为正常类和关注类的贷款的银行业金融机构信贷资产支持证券；信用等级不低于国内信用评级机构评定的</w:t>
      </w:r>
      <w:r w:rsidRPr="00211754">
        <w:rPr>
          <w:rFonts w:ascii="Times New Roman" w:eastAsiaTheme="minorEastAsia" w:hAnsiTheme="minorEastAsia"/>
          <w:sz w:val="21"/>
          <w:szCs w:val="21"/>
          <w:lang w:val="en-US"/>
        </w:rPr>
        <w:t>A</w:t>
      </w:r>
      <w:r w:rsidRPr="00211754">
        <w:rPr>
          <w:rFonts w:ascii="Times New Roman" w:eastAsiaTheme="minorEastAsia" w:hAnsiTheme="minorEastAsia" w:hint="eastAsia"/>
          <w:sz w:val="21"/>
          <w:szCs w:val="21"/>
          <w:lang w:val="en-US"/>
        </w:rPr>
        <w:t>级或者相当于</w:t>
      </w:r>
      <w:r w:rsidRPr="00211754">
        <w:rPr>
          <w:rFonts w:ascii="Times New Roman" w:eastAsiaTheme="minorEastAsia" w:hAnsiTheme="minorEastAsia"/>
          <w:sz w:val="21"/>
          <w:szCs w:val="21"/>
          <w:lang w:val="en-US"/>
        </w:rPr>
        <w:t>A</w:t>
      </w:r>
      <w:r w:rsidRPr="00211754">
        <w:rPr>
          <w:rFonts w:ascii="Times New Roman" w:eastAsiaTheme="minorEastAsia" w:hAnsiTheme="minorEastAsia" w:hint="eastAsia"/>
          <w:sz w:val="21"/>
          <w:szCs w:val="21"/>
          <w:lang w:val="en-US"/>
        </w:rPr>
        <w:t>级的固定收益类集合资金信托计划；符合证券公司企业资产证券化业务的有关规定，信用等级不低于</w:t>
      </w:r>
      <w:r w:rsidRPr="00211754">
        <w:rPr>
          <w:rFonts w:ascii="Times New Roman" w:eastAsiaTheme="minorEastAsia" w:hAnsiTheme="minorEastAsia" w:hint="eastAsia"/>
          <w:sz w:val="21"/>
          <w:szCs w:val="21"/>
          <w:lang w:val="en-US"/>
        </w:rPr>
        <w:lastRenderedPageBreak/>
        <w:t>国内信用评级机构评定的</w:t>
      </w:r>
      <w:r w:rsidRPr="00211754">
        <w:rPr>
          <w:rFonts w:ascii="Times New Roman" w:eastAsiaTheme="minorEastAsia" w:hAnsiTheme="minorEastAsia"/>
          <w:sz w:val="21"/>
          <w:szCs w:val="21"/>
          <w:lang w:val="en-US"/>
        </w:rPr>
        <w:t>A</w:t>
      </w:r>
      <w:r w:rsidRPr="00211754">
        <w:rPr>
          <w:rFonts w:ascii="Times New Roman" w:eastAsiaTheme="minorEastAsia" w:hAnsiTheme="minorEastAsia" w:hint="eastAsia"/>
          <w:sz w:val="21"/>
          <w:szCs w:val="21"/>
          <w:lang w:val="en-US"/>
        </w:rPr>
        <w:t>级或者相当于</w:t>
      </w:r>
      <w:r w:rsidRPr="00211754">
        <w:rPr>
          <w:rFonts w:ascii="Times New Roman" w:eastAsiaTheme="minorEastAsia" w:hAnsiTheme="minorEastAsia"/>
          <w:sz w:val="21"/>
          <w:szCs w:val="21"/>
          <w:lang w:val="en-US"/>
        </w:rPr>
        <w:t>A</w:t>
      </w:r>
      <w:r w:rsidRPr="00211754">
        <w:rPr>
          <w:rFonts w:ascii="Times New Roman" w:eastAsiaTheme="minorEastAsia" w:hAnsiTheme="minorEastAsia" w:hint="eastAsia"/>
          <w:sz w:val="21"/>
          <w:szCs w:val="21"/>
          <w:lang w:val="en-US"/>
        </w:rPr>
        <w:t>级的证券公司专项资产管理计划；信用等级不低于国内信用评级机构评定的</w:t>
      </w:r>
      <w:r w:rsidRPr="00211754">
        <w:rPr>
          <w:rFonts w:ascii="Times New Roman" w:eastAsiaTheme="minorEastAsia" w:hAnsiTheme="minorEastAsia"/>
          <w:sz w:val="21"/>
          <w:szCs w:val="21"/>
          <w:lang w:val="en-US"/>
        </w:rPr>
        <w:t>AA</w:t>
      </w:r>
      <w:r w:rsidRPr="00211754">
        <w:rPr>
          <w:rFonts w:ascii="Times New Roman" w:eastAsiaTheme="minorEastAsia" w:hAnsiTheme="minorEastAsia" w:hint="eastAsia"/>
          <w:sz w:val="21"/>
          <w:szCs w:val="21"/>
          <w:lang w:val="en-US"/>
        </w:rPr>
        <w:t>级或相当于</w:t>
      </w:r>
      <w:r w:rsidRPr="00211754">
        <w:rPr>
          <w:rFonts w:ascii="Times New Roman" w:eastAsiaTheme="minorEastAsia" w:hAnsiTheme="minorEastAsia"/>
          <w:sz w:val="21"/>
          <w:szCs w:val="21"/>
          <w:lang w:val="en-US"/>
        </w:rPr>
        <w:t>AA</w:t>
      </w:r>
      <w:r w:rsidRPr="00211754">
        <w:rPr>
          <w:rFonts w:ascii="Times New Roman" w:eastAsiaTheme="minorEastAsia" w:hAnsiTheme="minorEastAsia" w:hint="eastAsia"/>
          <w:sz w:val="21"/>
          <w:szCs w:val="21"/>
          <w:lang w:val="en-US"/>
        </w:rPr>
        <w:t>级的基础设施债权投资计划、项目资产支持计划和不动产投资计划等符合相关法律法规要求投资范围的基础资产。</w:t>
      </w:r>
    </w:p>
    <w:p w:rsidR="00211754" w:rsidRPr="00211754" w:rsidRDefault="00211754" w:rsidP="00211754">
      <w:pPr>
        <w:spacing w:line="360" w:lineRule="auto"/>
        <w:ind w:rightChars="118" w:right="260" w:firstLineChars="200" w:firstLine="420"/>
        <w:jc w:val="both"/>
        <w:rPr>
          <w:rFonts w:ascii="Times New Roman" w:eastAsiaTheme="minorEastAsia" w:hAnsiTheme="minorEastAsia"/>
          <w:sz w:val="21"/>
          <w:szCs w:val="21"/>
          <w:lang w:val="en-US"/>
        </w:rPr>
      </w:pPr>
      <w:r w:rsidRPr="00211754">
        <w:rPr>
          <w:rFonts w:ascii="Times New Roman" w:eastAsiaTheme="minorEastAsia" w:hAnsiTheme="minorEastAsia" w:hint="eastAsia"/>
          <w:sz w:val="21"/>
          <w:szCs w:val="21"/>
          <w:lang w:val="en-US"/>
        </w:rPr>
        <w:t>本投资账户各类资产投资比例限制为：固定收益类资产投资比例为账户总资产的</w:t>
      </w:r>
      <w:r w:rsidRPr="00211754">
        <w:rPr>
          <w:rFonts w:ascii="Times New Roman" w:eastAsiaTheme="minorEastAsia" w:hAnsiTheme="minorEastAsia"/>
          <w:sz w:val="21"/>
          <w:szCs w:val="21"/>
          <w:lang w:val="en-US"/>
        </w:rPr>
        <w:t>0-80%</w:t>
      </w:r>
      <w:r w:rsidRPr="00211754">
        <w:rPr>
          <w:rFonts w:ascii="Times New Roman" w:eastAsiaTheme="minorEastAsia" w:hAnsiTheme="minorEastAsia" w:hint="eastAsia"/>
          <w:sz w:val="21"/>
          <w:szCs w:val="21"/>
          <w:lang w:val="en-US"/>
        </w:rPr>
        <w:t>；流动性资产投资比例为账户总资产的</w:t>
      </w:r>
      <w:r w:rsidRPr="00211754">
        <w:rPr>
          <w:rFonts w:ascii="Times New Roman" w:eastAsiaTheme="minorEastAsia" w:hAnsiTheme="minorEastAsia"/>
          <w:sz w:val="21"/>
          <w:szCs w:val="21"/>
          <w:lang w:val="en-US"/>
        </w:rPr>
        <w:t>5%-100%</w:t>
      </w:r>
      <w:r w:rsidRPr="00211754">
        <w:rPr>
          <w:rFonts w:ascii="Times New Roman" w:eastAsiaTheme="minorEastAsia" w:hAnsiTheme="minorEastAsia" w:hint="eastAsia"/>
          <w:sz w:val="21"/>
          <w:szCs w:val="21"/>
          <w:lang w:val="en-US"/>
        </w:rPr>
        <w:t>；基础设施投资计划、不动产相关金融产品和其他金融资产的投资比例为账户总资产的</w:t>
      </w:r>
      <w:r w:rsidRPr="00211754">
        <w:rPr>
          <w:rFonts w:ascii="Times New Roman" w:eastAsiaTheme="minorEastAsia" w:hAnsiTheme="minorEastAsia"/>
          <w:sz w:val="21"/>
          <w:szCs w:val="21"/>
          <w:lang w:val="en-US"/>
        </w:rPr>
        <w:t>0-75%</w:t>
      </w:r>
      <w:r w:rsidRPr="00211754">
        <w:rPr>
          <w:rFonts w:ascii="Times New Roman" w:eastAsiaTheme="minorEastAsia" w:hAnsiTheme="minorEastAsia" w:hint="eastAsia"/>
          <w:sz w:val="21"/>
          <w:szCs w:val="21"/>
          <w:lang w:val="en-US"/>
        </w:rPr>
        <w:t>，其中单一项目的投资比例不超过账户总资产的</w:t>
      </w:r>
      <w:r w:rsidRPr="00211754">
        <w:rPr>
          <w:rFonts w:ascii="Times New Roman" w:eastAsiaTheme="minorEastAsia" w:hAnsiTheme="minorEastAsia"/>
          <w:sz w:val="21"/>
          <w:szCs w:val="21"/>
          <w:lang w:val="en-US"/>
        </w:rPr>
        <w:t>50%</w:t>
      </w:r>
      <w:r w:rsidRPr="00211754">
        <w:rPr>
          <w:rFonts w:ascii="Times New Roman" w:eastAsiaTheme="minorEastAsia" w:hAnsiTheme="minorEastAsia" w:hint="eastAsia"/>
          <w:sz w:val="21"/>
          <w:szCs w:val="21"/>
          <w:lang w:val="en-US"/>
        </w:rPr>
        <w:t>。</w:t>
      </w:r>
    </w:p>
    <w:p w:rsidR="00211754" w:rsidRDefault="00CC5E23" w:rsidP="00211754">
      <w:pPr>
        <w:widowControl w:val="0"/>
        <w:autoSpaceDE w:val="0"/>
        <w:autoSpaceDN w:val="0"/>
        <w:adjustRightInd w:val="0"/>
        <w:ind w:firstLine="405"/>
        <w:rPr>
          <w:rFonts w:ascii="Times New Roman" w:eastAsiaTheme="minorEastAsia" w:hAnsiTheme="minorEastAsia"/>
          <w:sz w:val="21"/>
          <w:szCs w:val="21"/>
          <w:lang w:val="en-US"/>
        </w:rPr>
      </w:pPr>
      <w:r w:rsidRPr="00F3357A">
        <w:rPr>
          <w:rFonts w:ascii="Times New Roman" w:eastAsiaTheme="minorEastAsia" w:hAnsi="Times New Roman"/>
          <w:sz w:val="21"/>
          <w:szCs w:val="21"/>
          <w:lang w:val="en-US"/>
        </w:rPr>
        <w:t>4</w:t>
      </w:r>
      <w:r w:rsidRPr="00F3357A">
        <w:rPr>
          <w:rFonts w:ascii="Times New Roman" w:eastAsiaTheme="minorEastAsia" w:hAnsiTheme="minorEastAsia" w:hint="eastAsia"/>
          <w:sz w:val="21"/>
          <w:szCs w:val="21"/>
          <w:lang w:val="en-US"/>
        </w:rPr>
        <w:t>、</w:t>
      </w:r>
      <w:r w:rsidR="00211754">
        <w:rPr>
          <w:rFonts w:ascii="宋体" w:hAnsi="Times New Roman" w:cs="宋体" w:hint="eastAsia"/>
          <w:sz w:val="21"/>
          <w:szCs w:val="21"/>
          <w:lang w:val="en-US"/>
        </w:rPr>
        <w:t>业绩比较基准：</w:t>
      </w:r>
    </w:p>
    <w:p w:rsidR="00211754" w:rsidRPr="00211754" w:rsidRDefault="00211754" w:rsidP="00211754">
      <w:pPr>
        <w:spacing w:line="360" w:lineRule="auto"/>
        <w:ind w:rightChars="118" w:right="260" w:firstLineChars="200" w:firstLine="420"/>
        <w:jc w:val="both"/>
        <w:rPr>
          <w:rFonts w:ascii="Times New Roman" w:eastAsiaTheme="minorEastAsia" w:hAnsiTheme="minorEastAsia"/>
          <w:sz w:val="21"/>
          <w:szCs w:val="21"/>
          <w:lang w:val="en-US"/>
        </w:rPr>
      </w:pPr>
      <w:r w:rsidRPr="00211754">
        <w:rPr>
          <w:rFonts w:ascii="Times New Roman" w:eastAsiaTheme="minorEastAsia" w:hAnsiTheme="minorEastAsia" w:hint="eastAsia"/>
          <w:sz w:val="21"/>
          <w:szCs w:val="21"/>
          <w:lang w:val="en-US"/>
        </w:rPr>
        <w:t>本投资账户的业绩比较基准为：</w:t>
      </w:r>
      <w:r w:rsidRPr="00211754">
        <w:rPr>
          <w:rFonts w:ascii="Times New Roman" w:eastAsiaTheme="minorEastAsia" w:hAnsiTheme="minorEastAsia"/>
          <w:sz w:val="21"/>
          <w:szCs w:val="21"/>
          <w:lang w:val="en-US"/>
        </w:rPr>
        <w:t>10%</w:t>
      </w:r>
      <w:r w:rsidRPr="00211754">
        <w:rPr>
          <w:rFonts w:ascii="Times New Roman" w:eastAsiaTheme="minorEastAsia" w:hAnsiTheme="minorEastAsia"/>
          <w:sz w:val="21"/>
          <w:szCs w:val="21"/>
          <w:lang w:val="en-US"/>
        </w:rPr>
        <w:t>×</w:t>
      </w:r>
      <w:r w:rsidRPr="00211754">
        <w:rPr>
          <w:rFonts w:ascii="Times New Roman" w:eastAsiaTheme="minorEastAsia" w:hAnsiTheme="minorEastAsia" w:hint="eastAsia"/>
          <w:sz w:val="21"/>
          <w:szCs w:val="21"/>
          <w:lang w:val="en-US"/>
        </w:rPr>
        <w:t>一年期定期存款利率＋</w:t>
      </w:r>
      <w:r w:rsidRPr="00211754">
        <w:rPr>
          <w:rFonts w:ascii="Times New Roman" w:eastAsiaTheme="minorEastAsia" w:hAnsiTheme="minorEastAsia"/>
          <w:sz w:val="21"/>
          <w:szCs w:val="21"/>
          <w:lang w:val="en-US"/>
        </w:rPr>
        <w:t>45%</w:t>
      </w:r>
      <w:r w:rsidRPr="00211754">
        <w:rPr>
          <w:rFonts w:ascii="Times New Roman" w:eastAsiaTheme="minorEastAsia" w:hAnsiTheme="minorEastAsia"/>
          <w:sz w:val="21"/>
          <w:szCs w:val="21"/>
          <w:lang w:val="en-US"/>
        </w:rPr>
        <w:t>×</w:t>
      </w:r>
      <w:r w:rsidRPr="00211754">
        <w:rPr>
          <w:rFonts w:ascii="Times New Roman" w:eastAsiaTheme="minorEastAsia" w:hAnsiTheme="minorEastAsia" w:hint="eastAsia"/>
          <w:sz w:val="21"/>
          <w:szCs w:val="21"/>
          <w:lang w:val="en-US"/>
        </w:rPr>
        <w:t>中债全价指数</w:t>
      </w:r>
      <w:r w:rsidRPr="00211754">
        <w:rPr>
          <w:rFonts w:ascii="Times New Roman" w:eastAsiaTheme="minorEastAsia" w:hAnsiTheme="minorEastAsia"/>
          <w:sz w:val="21"/>
          <w:szCs w:val="21"/>
          <w:lang w:val="en-US"/>
        </w:rPr>
        <w:t>+45%</w:t>
      </w:r>
      <w:r w:rsidRPr="00211754">
        <w:rPr>
          <w:rFonts w:ascii="Times New Roman" w:eastAsiaTheme="minorEastAsia" w:hAnsiTheme="minorEastAsia"/>
          <w:sz w:val="21"/>
          <w:szCs w:val="21"/>
          <w:lang w:val="en-US"/>
        </w:rPr>
        <w:t>×</w:t>
      </w:r>
      <w:r w:rsidRPr="00211754">
        <w:rPr>
          <w:rFonts w:ascii="Times New Roman" w:eastAsiaTheme="minorEastAsia" w:hAnsiTheme="minorEastAsia" w:hint="eastAsia"/>
          <w:sz w:val="21"/>
          <w:szCs w:val="21"/>
          <w:lang w:val="en-US"/>
        </w:rPr>
        <w:t>银行人民币五年以上贷款利率</w:t>
      </w:r>
      <w:r w:rsidRPr="00211754">
        <w:rPr>
          <w:rFonts w:ascii="Times New Roman" w:eastAsiaTheme="minorEastAsia" w:hAnsiTheme="minorEastAsia"/>
          <w:sz w:val="21"/>
          <w:szCs w:val="21"/>
          <w:lang w:val="en-US"/>
        </w:rPr>
        <w:t>×</w:t>
      </w:r>
      <w:r w:rsidRPr="00211754">
        <w:rPr>
          <w:rFonts w:ascii="Times New Roman" w:eastAsiaTheme="minorEastAsia" w:hAnsiTheme="minorEastAsia"/>
          <w:sz w:val="21"/>
          <w:szCs w:val="21"/>
          <w:lang w:val="en-US"/>
        </w:rPr>
        <w:t>140%</w:t>
      </w:r>
      <w:r w:rsidRPr="00211754">
        <w:rPr>
          <w:rFonts w:ascii="Times New Roman" w:eastAsiaTheme="minorEastAsia" w:hAnsiTheme="minorEastAsia" w:hint="eastAsia"/>
          <w:sz w:val="21"/>
          <w:szCs w:val="21"/>
          <w:lang w:val="en-US"/>
        </w:rPr>
        <w:t>。</w:t>
      </w:r>
    </w:p>
    <w:p w:rsidR="00211754" w:rsidRDefault="00CC5E23" w:rsidP="00211754">
      <w:pPr>
        <w:widowControl w:val="0"/>
        <w:autoSpaceDE w:val="0"/>
        <w:autoSpaceDN w:val="0"/>
        <w:adjustRightInd w:val="0"/>
        <w:ind w:firstLine="405"/>
        <w:rPr>
          <w:rFonts w:ascii="宋体" w:hAnsi="Times New Roman" w:cs="宋体"/>
          <w:sz w:val="21"/>
          <w:szCs w:val="21"/>
          <w:lang w:val="en-US"/>
        </w:rPr>
      </w:pPr>
      <w:r w:rsidRPr="00F3357A">
        <w:rPr>
          <w:rFonts w:ascii="Times New Roman" w:eastAsiaTheme="minorEastAsia" w:hAnsi="Times New Roman"/>
          <w:sz w:val="21"/>
          <w:szCs w:val="21"/>
        </w:rPr>
        <w:t>5</w:t>
      </w:r>
      <w:r w:rsidRPr="00F3357A">
        <w:rPr>
          <w:rFonts w:ascii="Times New Roman" w:eastAsiaTheme="minorEastAsia" w:hAnsiTheme="minorEastAsia" w:hint="eastAsia"/>
          <w:sz w:val="21"/>
          <w:szCs w:val="21"/>
        </w:rPr>
        <w:t>、</w:t>
      </w:r>
      <w:r w:rsidR="00211754">
        <w:rPr>
          <w:rFonts w:ascii="宋体" w:hAnsi="Times New Roman" w:cs="宋体" w:hint="eastAsia"/>
          <w:sz w:val="21"/>
          <w:szCs w:val="21"/>
          <w:lang w:val="en-US"/>
        </w:rPr>
        <w:t>流动性管理方案：</w:t>
      </w:r>
    </w:p>
    <w:p w:rsidR="00211754" w:rsidRPr="00211754" w:rsidRDefault="00211754" w:rsidP="00211754">
      <w:pPr>
        <w:spacing w:line="360" w:lineRule="auto"/>
        <w:ind w:rightChars="118" w:right="260" w:firstLineChars="200" w:firstLine="420"/>
        <w:jc w:val="both"/>
        <w:rPr>
          <w:rFonts w:ascii="Times New Roman" w:eastAsiaTheme="minorEastAsia" w:hAnsiTheme="minorEastAsia"/>
          <w:sz w:val="21"/>
          <w:szCs w:val="21"/>
          <w:lang w:val="en-US"/>
        </w:rPr>
      </w:pPr>
      <w:r w:rsidRPr="00211754">
        <w:rPr>
          <w:rFonts w:ascii="Times New Roman" w:eastAsiaTheme="minorEastAsia" w:hAnsiTheme="minorEastAsia" w:hint="eastAsia"/>
          <w:sz w:val="21"/>
          <w:szCs w:val="21"/>
          <w:lang w:val="en-US"/>
        </w:rPr>
        <w:t>从投资角度出发，针对本账户可能出现的流动性风险，包括本账户资产不能迅速转变成现金，或者转变成现金会对账户资产价格造成重大不利影响的风险，管理人应提前对可能出现流动性风险预警并做出相应流动性安排，具体措施如下：</w:t>
      </w:r>
    </w:p>
    <w:p w:rsidR="009B5BF8" w:rsidRPr="00211754" w:rsidRDefault="00211754" w:rsidP="00211754">
      <w:pPr>
        <w:spacing w:line="360" w:lineRule="auto"/>
        <w:ind w:rightChars="118" w:right="260" w:firstLineChars="200" w:firstLine="420"/>
        <w:jc w:val="both"/>
        <w:rPr>
          <w:rFonts w:ascii="Times New Roman" w:eastAsiaTheme="minorEastAsia" w:hAnsiTheme="minorEastAsia"/>
          <w:sz w:val="21"/>
          <w:szCs w:val="21"/>
          <w:lang w:val="en-US"/>
        </w:rPr>
      </w:pPr>
      <w:r w:rsidRPr="00211754">
        <w:rPr>
          <w:rFonts w:ascii="Times New Roman" w:eastAsiaTheme="minorEastAsia" w:hAnsiTheme="minorEastAsia" w:hint="eastAsia"/>
          <w:sz w:val="21"/>
          <w:szCs w:val="21"/>
          <w:lang w:val="en-US"/>
        </w:rPr>
        <w:t>（</w:t>
      </w:r>
      <w:r w:rsidRPr="00211754">
        <w:rPr>
          <w:rFonts w:ascii="Times New Roman" w:eastAsiaTheme="minorEastAsia" w:hAnsiTheme="minorEastAsia"/>
          <w:sz w:val="21"/>
          <w:szCs w:val="21"/>
          <w:lang w:val="en-US"/>
        </w:rPr>
        <w:t>1</w:t>
      </w:r>
      <w:r w:rsidRPr="00211754">
        <w:rPr>
          <w:rFonts w:ascii="Times New Roman" w:eastAsiaTheme="minorEastAsia" w:hAnsiTheme="minorEastAsia" w:hint="eastAsia"/>
          <w:sz w:val="21"/>
          <w:szCs w:val="21"/>
          <w:lang w:val="en-US"/>
        </w:rPr>
        <w:t>）为防止因投保人退出规模较大导致账户资产无法变现或变现成本过高的流动性风险，账户资产至少保有</w:t>
      </w:r>
      <w:r w:rsidRPr="00211754">
        <w:rPr>
          <w:rFonts w:ascii="Times New Roman" w:eastAsiaTheme="minorEastAsia" w:hAnsiTheme="minorEastAsia"/>
          <w:sz w:val="21"/>
          <w:szCs w:val="21"/>
          <w:lang w:val="en-US"/>
        </w:rPr>
        <w:t>5%</w:t>
      </w:r>
      <w:r w:rsidRPr="00211754">
        <w:rPr>
          <w:rFonts w:ascii="Times New Roman" w:eastAsiaTheme="minorEastAsia" w:hAnsiTheme="minorEastAsia" w:hint="eastAsia"/>
          <w:sz w:val="21"/>
          <w:szCs w:val="21"/>
          <w:lang w:val="en-US"/>
        </w:rPr>
        <w:t>或以上流动性资产，包括现金、银行存款、货币市场基金、剩余期限在一年以内债券、短期银行理财、现金类信托等，以保证账户资产具有较好变现能力，以备不时之需；</w:t>
      </w:r>
    </w:p>
    <w:p w:rsidR="00B249DC" w:rsidRPr="00211754" w:rsidRDefault="00211754" w:rsidP="00211754">
      <w:pPr>
        <w:spacing w:line="360" w:lineRule="auto"/>
        <w:ind w:rightChars="118" w:right="260" w:firstLineChars="200" w:firstLine="420"/>
        <w:jc w:val="both"/>
        <w:rPr>
          <w:rFonts w:ascii="Times New Roman" w:eastAsiaTheme="minorEastAsia" w:hAnsiTheme="minorEastAsia"/>
          <w:sz w:val="21"/>
          <w:szCs w:val="21"/>
          <w:lang w:val="en-US"/>
        </w:rPr>
      </w:pPr>
      <w:r w:rsidRPr="00211754">
        <w:rPr>
          <w:rFonts w:ascii="Times New Roman" w:eastAsiaTheme="minorEastAsia" w:hAnsiTheme="minorEastAsia" w:hint="eastAsia"/>
          <w:sz w:val="21"/>
          <w:szCs w:val="21"/>
          <w:lang w:val="en-US"/>
        </w:rPr>
        <w:t>（</w:t>
      </w:r>
      <w:r w:rsidRPr="00211754">
        <w:rPr>
          <w:rFonts w:ascii="Times New Roman" w:eastAsiaTheme="minorEastAsia" w:hAnsiTheme="minorEastAsia"/>
          <w:sz w:val="21"/>
          <w:szCs w:val="21"/>
          <w:lang w:val="en-US"/>
        </w:rPr>
        <w:t>2</w:t>
      </w:r>
      <w:r w:rsidRPr="00211754">
        <w:rPr>
          <w:rFonts w:ascii="Times New Roman" w:eastAsiaTheme="minorEastAsia" w:hAnsiTheme="minorEastAsia" w:hint="eastAsia"/>
          <w:sz w:val="21"/>
          <w:szCs w:val="21"/>
          <w:lang w:val="en-US"/>
        </w:rPr>
        <w:t>）为应对可能发生的流动性风险，管理人应对市场资金面较为准确预测，及时与市场机构成员保持密切沟通，通过债券回购等方式融入短期资金以确保投保人退出及时得以支付；</w:t>
      </w:r>
    </w:p>
    <w:p w:rsidR="00F3357A" w:rsidRDefault="00211754" w:rsidP="00211754">
      <w:pPr>
        <w:spacing w:line="360" w:lineRule="auto"/>
        <w:ind w:rightChars="118" w:right="260" w:firstLineChars="200" w:firstLine="420"/>
        <w:jc w:val="both"/>
        <w:rPr>
          <w:rFonts w:ascii="Times New Roman" w:eastAsiaTheme="minorEastAsia" w:hAnsiTheme="minorEastAsia"/>
          <w:sz w:val="21"/>
          <w:szCs w:val="21"/>
          <w:lang w:val="en-US"/>
        </w:rPr>
      </w:pPr>
      <w:r w:rsidRPr="00211754">
        <w:rPr>
          <w:rFonts w:ascii="Times New Roman" w:eastAsiaTheme="minorEastAsia" w:hAnsiTheme="minorEastAsia" w:hint="eastAsia"/>
          <w:sz w:val="21"/>
          <w:szCs w:val="21"/>
          <w:lang w:val="en-US"/>
        </w:rPr>
        <w:t>（</w:t>
      </w:r>
      <w:r w:rsidRPr="00211754">
        <w:rPr>
          <w:rFonts w:ascii="Times New Roman" w:eastAsiaTheme="minorEastAsia" w:hAnsiTheme="minorEastAsia"/>
          <w:sz w:val="21"/>
          <w:szCs w:val="21"/>
          <w:lang w:val="en-US"/>
        </w:rPr>
        <w:t>3</w:t>
      </w:r>
      <w:r w:rsidRPr="00211754">
        <w:rPr>
          <w:rFonts w:ascii="Times New Roman" w:eastAsiaTheme="minorEastAsia" w:hAnsiTheme="minorEastAsia" w:hint="eastAsia"/>
          <w:sz w:val="21"/>
          <w:szCs w:val="21"/>
          <w:lang w:val="en-US"/>
        </w:rPr>
        <w:t>）对投资账户设计巨额退出制度，当单个开放日累计净退出额超过</w:t>
      </w:r>
      <w:r w:rsidRPr="00211754">
        <w:rPr>
          <w:rFonts w:ascii="Times New Roman" w:eastAsiaTheme="minorEastAsia" w:hAnsiTheme="minorEastAsia"/>
          <w:sz w:val="21"/>
          <w:szCs w:val="21"/>
          <w:lang w:val="en-US"/>
        </w:rPr>
        <w:t>10%</w:t>
      </w:r>
      <w:r w:rsidRPr="00211754">
        <w:rPr>
          <w:rFonts w:ascii="Times New Roman" w:eastAsiaTheme="minorEastAsia" w:hAnsiTheme="minorEastAsia" w:hint="eastAsia"/>
          <w:sz w:val="21"/>
          <w:szCs w:val="21"/>
          <w:lang w:val="en-US"/>
        </w:rPr>
        <w:t>时，将进行顺延退出或暂停退出，给其他资产变现留下充足时间，减少变现损失。</w:t>
      </w:r>
    </w:p>
    <w:p w:rsidR="00211754" w:rsidRPr="00211754" w:rsidRDefault="00211754" w:rsidP="00211754">
      <w:pPr>
        <w:widowControl w:val="0"/>
        <w:autoSpaceDE w:val="0"/>
        <w:autoSpaceDN w:val="0"/>
        <w:adjustRightInd w:val="0"/>
        <w:ind w:firstLine="405"/>
        <w:rPr>
          <w:rFonts w:ascii="Times New Roman" w:eastAsiaTheme="minorEastAsia" w:hAnsi="Times New Roman"/>
          <w:sz w:val="21"/>
          <w:szCs w:val="21"/>
        </w:rPr>
      </w:pPr>
      <w:r w:rsidRPr="00211754">
        <w:rPr>
          <w:rFonts w:ascii="Times New Roman" w:eastAsiaTheme="minorEastAsia" w:hAnsi="Times New Roman"/>
          <w:sz w:val="21"/>
          <w:szCs w:val="21"/>
        </w:rPr>
        <w:t>6</w:t>
      </w:r>
      <w:r w:rsidRPr="00211754">
        <w:rPr>
          <w:rFonts w:ascii="Times New Roman" w:eastAsiaTheme="minorEastAsia" w:hAnsi="Times New Roman" w:hint="eastAsia"/>
          <w:sz w:val="21"/>
          <w:szCs w:val="21"/>
        </w:rPr>
        <w:t>、主要投资风险：</w:t>
      </w:r>
    </w:p>
    <w:p w:rsidR="00211754" w:rsidRDefault="00211754" w:rsidP="00211754">
      <w:pPr>
        <w:spacing w:line="360" w:lineRule="auto"/>
        <w:ind w:rightChars="118" w:right="260" w:firstLineChars="200" w:firstLine="420"/>
        <w:jc w:val="both"/>
        <w:rPr>
          <w:rFonts w:ascii="Times New Roman" w:eastAsiaTheme="minorEastAsia" w:hAnsiTheme="minorEastAsia"/>
          <w:sz w:val="21"/>
          <w:szCs w:val="21"/>
          <w:lang w:val="en-US"/>
        </w:rPr>
      </w:pPr>
      <w:r>
        <w:rPr>
          <w:rFonts w:ascii="宋体" w:hAnsi="Times New Roman" w:cs="宋体" w:hint="eastAsia"/>
          <w:sz w:val="21"/>
          <w:szCs w:val="21"/>
          <w:lang w:val="en-US"/>
        </w:rPr>
        <w:t>市场风险、信用风险、流动性风险及管理操作风险。</w:t>
      </w:r>
    </w:p>
    <w:p w:rsidR="00211754" w:rsidRDefault="00211754" w:rsidP="00211754">
      <w:pPr>
        <w:spacing w:line="360" w:lineRule="auto"/>
        <w:ind w:rightChars="118" w:right="260" w:firstLineChars="200" w:firstLine="420"/>
        <w:jc w:val="both"/>
        <w:rPr>
          <w:rFonts w:ascii="Times New Roman" w:eastAsiaTheme="minorEastAsia" w:hAnsiTheme="minorEastAsia"/>
          <w:sz w:val="21"/>
          <w:szCs w:val="21"/>
          <w:lang w:val="en-US"/>
        </w:rPr>
      </w:pPr>
      <w:r w:rsidRPr="00211754">
        <w:rPr>
          <w:rFonts w:ascii="Times New Roman" w:eastAsiaTheme="minorEastAsia" w:hAnsiTheme="minorEastAsia" w:hint="eastAsia"/>
          <w:sz w:val="21"/>
          <w:szCs w:val="21"/>
          <w:lang w:val="en-US"/>
        </w:rPr>
        <w:t>（</w:t>
      </w:r>
      <w:r w:rsidRPr="00211754">
        <w:rPr>
          <w:rFonts w:ascii="Times New Roman" w:eastAsiaTheme="minorEastAsia" w:hAnsiTheme="minorEastAsia"/>
          <w:sz w:val="21"/>
          <w:szCs w:val="21"/>
          <w:lang w:val="en-US"/>
        </w:rPr>
        <w:t>1</w:t>
      </w:r>
      <w:r w:rsidRPr="00211754">
        <w:rPr>
          <w:rFonts w:ascii="Times New Roman" w:eastAsiaTheme="minorEastAsia" w:hAnsiTheme="minorEastAsia" w:hint="eastAsia"/>
          <w:sz w:val="21"/>
          <w:szCs w:val="21"/>
          <w:lang w:val="en-US"/>
        </w:rPr>
        <w:t>）市场风险，是指金融市场受基本面、政策面、资金面等各种因素的影响不断变化，使本账户投资品种价格发生波动，从而导致本账户收益水平也发生变化，产生潜在风险，主要包括：</w:t>
      </w:r>
    </w:p>
    <w:p w:rsidR="00211754" w:rsidRPr="00211754" w:rsidRDefault="00211754" w:rsidP="00211754">
      <w:pPr>
        <w:spacing w:line="360" w:lineRule="auto"/>
        <w:ind w:rightChars="118" w:right="260" w:firstLineChars="200" w:firstLine="420"/>
        <w:jc w:val="both"/>
        <w:rPr>
          <w:rFonts w:ascii="Times New Roman" w:eastAsiaTheme="minorEastAsia" w:hAnsiTheme="minorEastAsia"/>
          <w:sz w:val="21"/>
          <w:szCs w:val="21"/>
          <w:lang w:val="en-US"/>
        </w:rPr>
      </w:pPr>
      <w:r w:rsidRPr="00211754">
        <w:rPr>
          <w:rFonts w:ascii="Times New Roman" w:eastAsiaTheme="minorEastAsia" w:hAnsiTheme="minorEastAsia"/>
          <w:sz w:val="21"/>
          <w:szCs w:val="21"/>
          <w:lang w:val="en-US"/>
        </w:rPr>
        <w:t>1</w:t>
      </w:r>
      <w:r w:rsidRPr="00211754">
        <w:rPr>
          <w:rFonts w:ascii="Times New Roman" w:eastAsiaTheme="minorEastAsia" w:hAnsiTheme="minorEastAsia" w:hint="eastAsia"/>
          <w:sz w:val="21"/>
          <w:szCs w:val="21"/>
          <w:lang w:val="en-US"/>
        </w:rPr>
        <w:t>）政策风险，是指货币政策、财政政策、产业政策、地区发展政策等国家政策的变化对证券市场产生一定的影响，导致市场价格波动，影响账户收益而产生风险。</w:t>
      </w:r>
    </w:p>
    <w:p w:rsidR="00211754" w:rsidRPr="00211754" w:rsidRDefault="00211754" w:rsidP="00211754">
      <w:pPr>
        <w:spacing w:line="360" w:lineRule="auto"/>
        <w:ind w:rightChars="118" w:right="260" w:firstLineChars="200" w:firstLine="420"/>
        <w:jc w:val="both"/>
        <w:rPr>
          <w:rFonts w:ascii="Times New Roman" w:eastAsiaTheme="minorEastAsia" w:hAnsiTheme="minorEastAsia"/>
          <w:sz w:val="21"/>
          <w:szCs w:val="21"/>
          <w:lang w:val="en-US"/>
        </w:rPr>
      </w:pPr>
      <w:r w:rsidRPr="00211754">
        <w:rPr>
          <w:rFonts w:ascii="Times New Roman" w:eastAsiaTheme="minorEastAsia" w:hAnsiTheme="minorEastAsia"/>
          <w:sz w:val="21"/>
          <w:szCs w:val="21"/>
          <w:lang w:val="en-US"/>
        </w:rPr>
        <w:lastRenderedPageBreak/>
        <w:t>2</w:t>
      </w:r>
      <w:r w:rsidRPr="00211754">
        <w:rPr>
          <w:rFonts w:ascii="Times New Roman" w:eastAsiaTheme="minorEastAsia" w:hAnsiTheme="minorEastAsia" w:hint="eastAsia"/>
          <w:sz w:val="21"/>
          <w:szCs w:val="21"/>
          <w:lang w:val="en-US"/>
        </w:rPr>
        <w:t>）经济周期风险，是指证券市场是国民经济的晴雨表，而经济运行具有周期性的特点。宏观经济运行状况将对证券市场的收益水平产生影响，从而产生风险。</w:t>
      </w:r>
    </w:p>
    <w:p w:rsidR="00211754" w:rsidRPr="00211754" w:rsidRDefault="00211754" w:rsidP="00211754">
      <w:pPr>
        <w:spacing w:line="360" w:lineRule="auto"/>
        <w:ind w:rightChars="118" w:right="260" w:firstLineChars="200" w:firstLine="420"/>
        <w:jc w:val="both"/>
        <w:rPr>
          <w:rFonts w:ascii="Times New Roman" w:eastAsiaTheme="minorEastAsia" w:hAnsiTheme="minorEastAsia"/>
          <w:sz w:val="21"/>
          <w:szCs w:val="21"/>
          <w:lang w:val="en-US"/>
        </w:rPr>
      </w:pPr>
      <w:r w:rsidRPr="00211754">
        <w:rPr>
          <w:rFonts w:ascii="Times New Roman" w:eastAsiaTheme="minorEastAsia" w:hAnsiTheme="minorEastAsia"/>
          <w:sz w:val="21"/>
          <w:szCs w:val="21"/>
          <w:lang w:val="en-US"/>
        </w:rPr>
        <w:t>3</w:t>
      </w:r>
      <w:r w:rsidRPr="00211754">
        <w:rPr>
          <w:rFonts w:ascii="Times New Roman" w:eastAsiaTheme="minorEastAsia" w:hAnsiTheme="minorEastAsia" w:hint="eastAsia"/>
          <w:sz w:val="21"/>
          <w:szCs w:val="21"/>
          <w:lang w:val="en-US"/>
        </w:rPr>
        <w:t>）利率风险，是指金融市场利率波动会导致债券市场的价格和收益率的变动，同时直接影响企业的融资成本和利润水平。本账户投资于债券，收益水平会受到利率变化的影响，从而产生风险。</w:t>
      </w:r>
    </w:p>
    <w:p w:rsidR="00211754" w:rsidRPr="00211754" w:rsidRDefault="00211754" w:rsidP="00211754">
      <w:pPr>
        <w:spacing w:line="360" w:lineRule="auto"/>
        <w:ind w:rightChars="118" w:right="260" w:firstLineChars="200" w:firstLine="420"/>
        <w:jc w:val="both"/>
        <w:rPr>
          <w:rFonts w:ascii="Times New Roman" w:eastAsiaTheme="minorEastAsia" w:hAnsiTheme="minorEastAsia"/>
          <w:sz w:val="21"/>
          <w:szCs w:val="21"/>
          <w:lang w:val="en-US"/>
        </w:rPr>
      </w:pPr>
      <w:r w:rsidRPr="00211754">
        <w:rPr>
          <w:rFonts w:ascii="Times New Roman" w:eastAsiaTheme="minorEastAsia" w:hAnsiTheme="minorEastAsia"/>
          <w:sz w:val="21"/>
          <w:szCs w:val="21"/>
          <w:lang w:val="en-US"/>
        </w:rPr>
        <w:t>4</w:t>
      </w:r>
      <w:r w:rsidRPr="00211754">
        <w:rPr>
          <w:rFonts w:ascii="Times New Roman" w:eastAsiaTheme="minorEastAsia" w:hAnsiTheme="minorEastAsia" w:hint="eastAsia"/>
          <w:sz w:val="21"/>
          <w:szCs w:val="21"/>
          <w:lang w:val="en-US"/>
        </w:rPr>
        <w:t>）再投资风险，是指由于金融市场利率下降造成的无法通过再投资而实现预期收益的风险。</w:t>
      </w:r>
    </w:p>
    <w:p w:rsidR="00211754" w:rsidRPr="004B4E7E" w:rsidRDefault="004B4E7E" w:rsidP="004B4E7E">
      <w:pPr>
        <w:spacing w:line="360" w:lineRule="auto"/>
        <w:ind w:rightChars="118" w:right="260" w:firstLineChars="200" w:firstLine="420"/>
        <w:jc w:val="both"/>
        <w:rPr>
          <w:rFonts w:ascii="Times New Roman" w:eastAsiaTheme="minorEastAsia" w:hAnsiTheme="minorEastAsia"/>
          <w:sz w:val="21"/>
          <w:szCs w:val="21"/>
          <w:lang w:val="en-US"/>
        </w:rPr>
      </w:pPr>
      <w:r w:rsidRPr="004B4E7E">
        <w:rPr>
          <w:rFonts w:ascii="Times New Roman" w:eastAsiaTheme="minorEastAsia" w:hAnsiTheme="minorEastAsia"/>
          <w:sz w:val="21"/>
          <w:szCs w:val="21"/>
          <w:lang w:val="en-US"/>
        </w:rPr>
        <w:t>5</w:t>
      </w:r>
      <w:r w:rsidRPr="004B4E7E">
        <w:rPr>
          <w:rFonts w:ascii="Times New Roman" w:eastAsiaTheme="minorEastAsia" w:hAnsiTheme="minorEastAsia" w:hint="eastAsia"/>
          <w:sz w:val="21"/>
          <w:szCs w:val="21"/>
          <w:lang w:val="en-US"/>
        </w:rPr>
        <w:t>）产品业绩风险，是指所投资的基金、银行理财等产品由于其管理人的投资失误，造成业绩下降，也会影响到本账户的收益率。</w:t>
      </w:r>
    </w:p>
    <w:p w:rsidR="00211754" w:rsidRDefault="004B4E7E" w:rsidP="004B4E7E">
      <w:pPr>
        <w:spacing w:line="360" w:lineRule="auto"/>
        <w:ind w:rightChars="118" w:right="260" w:firstLineChars="200" w:firstLine="420"/>
        <w:jc w:val="both"/>
        <w:rPr>
          <w:rFonts w:ascii="Times New Roman" w:eastAsiaTheme="minorEastAsia" w:hAnsiTheme="minorEastAsia"/>
          <w:sz w:val="21"/>
          <w:szCs w:val="21"/>
          <w:lang w:val="en-US"/>
        </w:rPr>
      </w:pPr>
      <w:r w:rsidRPr="004B4E7E">
        <w:rPr>
          <w:rFonts w:ascii="Times New Roman" w:eastAsiaTheme="minorEastAsia" w:hAnsiTheme="minorEastAsia"/>
          <w:sz w:val="21"/>
          <w:szCs w:val="21"/>
          <w:lang w:val="en-US"/>
        </w:rPr>
        <w:t>6</w:t>
      </w:r>
      <w:r w:rsidRPr="004B4E7E">
        <w:rPr>
          <w:rFonts w:ascii="Times New Roman" w:eastAsiaTheme="minorEastAsia" w:hAnsiTheme="minorEastAsia" w:hint="eastAsia"/>
          <w:sz w:val="21"/>
          <w:szCs w:val="21"/>
          <w:lang w:val="en-US"/>
        </w:rPr>
        <w:t>）购买力风险，是指因本账户投资的目的是使账户资产保值增值，如果发生通货膨胀，账户投资于证券所获得的收益可能会被通货膨胀抵消，从而影响账户资产的保值增值的风险。</w:t>
      </w:r>
    </w:p>
    <w:p w:rsidR="00211754" w:rsidRPr="00795C9E" w:rsidRDefault="00795C9E" w:rsidP="00795C9E">
      <w:pPr>
        <w:spacing w:line="360" w:lineRule="auto"/>
        <w:ind w:rightChars="118" w:right="260" w:firstLineChars="200" w:firstLine="420"/>
        <w:jc w:val="both"/>
        <w:rPr>
          <w:rFonts w:ascii="Times New Roman" w:eastAsiaTheme="minorEastAsia" w:hAnsiTheme="minorEastAsia"/>
          <w:sz w:val="21"/>
          <w:szCs w:val="21"/>
          <w:lang w:val="en-US"/>
        </w:rPr>
      </w:pPr>
      <w:r w:rsidRPr="00795C9E">
        <w:rPr>
          <w:rFonts w:ascii="Times New Roman" w:eastAsiaTheme="minorEastAsia" w:hAnsiTheme="minorEastAsia" w:hint="eastAsia"/>
          <w:sz w:val="21"/>
          <w:szCs w:val="21"/>
          <w:lang w:val="en-US"/>
        </w:rPr>
        <w:t>（</w:t>
      </w:r>
      <w:r w:rsidRPr="00795C9E">
        <w:rPr>
          <w:rFonts w:ascii="Times New Roman" w:eastAsiaTheme="minorEastAsia" w:hAnsiTheme="minorEastAsia"/>
          <w:sz w:val="21"/>
          <w:szCs w:val="21"/>
          <w:lang w:val="en-US"/>
        </w:rPr>
        <w:t>2</w:t>
      </w:r>
      <w:r w:rsidRPr="00795C9E">
        <w:rPr>
          <w:rFonts w:ascii="Times New Roman" w:eastAsiaTheme="minorEastAsia" w:hAnsiTheme="minorEastAsia" w:hint="eastAsia"/>
          <w:sz w:val="21"/>
          <w:szCs w:val="21"/>
          <w:lang w:val="en-US"/>
        </w:rPr>
        <w:t>）信用风险，是指本账户在交易过程中发生交收违约，或者本账户所投资证券之发行人出现违约、拒绝支付，造成本账户资产损失的风险。本账户投资的企业债、公司债、银行理财、信托产品等，存在发行人无法支付到期本息的风险；在交易过程中可能发生交收违约或者所投资产品的发行人倒闭、信用评级被降低、违约、拒绝支付到期本息的情况，从而导致本账户资产损失。</w:t>
      </w:r>
    </w:p>
    <w:p w:rsidR="00795C9E" w:rsidRPr="00795C9E" w:rsidRDefault="00795C9E" w:rsidP="00795C9E">
      <w:pPr>
        <w:spacing w:line="360" w:lineRule="auto"/>
        <w:ind w:rightChars="118" w:right="260" w:firstLineChars="200" w:firstLine="420"/>
        <w:jc w:val="both"/>
        <w:rPr>
          <w:rFonts w:ascii="Times New Roman" w:eastAsiaTheme="minorEastAsia" w:hAnsiTheme="minorEastAsia"/>
          <w:sz w:val="21"/>
          <w:szCs w:val="21"/>
          <w:lang w:val="en-US"/>
        </w:rPr>
      </w:pPr>
      <w:r>
        <w:rPr>
          <w:rFonts w:ascii="宋体" w:hAnsi="Times New Roman" w:cs="宋体" w:hint="eastAsia"/>
          <w:sz w:val="21"/>
          <w:szCs w:val="21"/>
          <w:lang w:val="en-US"/>
        </w:rPr>
        <w:t>（</w:t>
      </w:r>
      <w:r w:rsidRPr="00795C9E">
        <w:rPr>
          <w:rFonts w:ascii="Times New Roman" w:eastAsiaTheme="minorEastAsia" w:hAnsiTheme="minorEastAsia"/>
          <w:sz w:val="21"/>
          <w:szCs w:val="21"/>
          <w:lang w:val="en-US"/>
        </w:rPr>
        <w:t>3</w:t>
      </w:r>
      <w:r w:rsidRPr="00795C9E">
        <w:rPr>
          <w:rFonts w:ascii="Times New Roman" w:eastAsiaTheme="minorEastAsia" w:hAnsiTheme="minorEastAsia" w:hint="eastAsia"/>
          <w:sz w:val="21"/>
          <w:szCs w:val="21"/>
          <w:lang w:val="en-US"/>
        </w:rPr>
        <w:t>）流动性风险，主要是指本账户资产不能迅速转变成现金，或者转变成现金会对账户资产价格造成重大不利影响的风险。在账户存续期间，可能会发生个别偶然事件，如出现巨额退出的情形，短时间投保人大量退出或出现账户到期时，证券资产无法变现的情况，上述情形的发生在特殊情况时可能会出现交易量急剧减少或市场资金面紧张等情形，此时出现巨额退出，则可能会导致账户资产变现困难，从而产生流动性风险，甚至影响本账户份额净值。</w:t>
      </w:r>
    </w:p>
    <w:p w:rsidR="00211754" w:rsidRPr="00795C9E" w:rsidRDefault="00795C9E" w:rsidP="00795C9E">
      <w:pPr>
        <w:spacing w:line="360" w:lineRule="auto"/>
        <w:ind w:rightChars="118" w:right="260" w:firstLineChars="200" w:firstLine="420"/>
        <w:jc w:val="both"/>
        <w:rPr>
          <w:rFonts w:ascii="Times New Roman" w:eastAsiaTheme="minorEastAsia" w:hAnsiTheme="minorEastAsia"/>
          <w:sz w:val="21"/>
          <w:szCs w:val="21"/>
          <w:lang w:val="en-US"/>
        </w:rPr>
      </w:pPr>
      <w:r w:rsidRPr="00795C9E">
        <w:rPr>
          <w:rFonts w:ascii="Times New Roman" w:eastAsiaTheme="minorEastAsia" w:hAnsiTheme="minorEastAsia" w:hint="eastAsia"/>
          <w:sz w:val="21"/>
          <w:szCs w:val="21"/>
          <w:lang w:val="en-US"/>
        </w:rPr>
        <w:t>（</w:t>
      </w:r>
      <w:r w:rsidRPr="00795C9E">
        <w:rPr>
          <w:rFonts w:ascii="Times New Roman" w:eastAsiaTheme="minorEastAsia" w:hAnsiTheme="minorEastAsia"/>
          <w:sz w:val="21"/>
          <w:szCs w:val="21"/>
          <w:lang w:val="en-US"/>
        </w:rPr>
        <w:t>4</w:t>
      </w:r>
      <w:r w:rsidRPr="00795C9E">
        <w:rPr>
          <w:rFonts w:ascii="Times New Roman" w:eastAsiaTheme="minorEastAsia" w:hAnsiTheme="minorEastAsia" w:hint="eastAsia"/>
          <w:sz w:val="21"/>
          <w:szCs w:val="21"/>
          <w:lang w:val="en-US"/>
        </w:rPr>
        <w:t>）管理操作风险，是指因本账户为动态管理的投资组合而存在管理的风险。在账户管理运作过程中，可能因管理人对经济形势和证券市场等判断有误、获取的信息不全等影响账户的收益水平。管理人和托管人的管理水平、管理手段和管理技术等对账户收益水平存在影响。管理人的相关当事人在业务各环节操作过程中，因内部控制存在缺陷等因素造成操作失误或违反操作规程等所引致的风险，例如，越权违规交易、会计部门欺诈、交易错误、</w:t>
      </w:r>
      <w:r w:rsidRPr="00795C9E">
        <w:rPr>
          <w:rFonts w:ascii="Times New Roman" w:eastAsiaTheme="minorEastAsia" w:hAnsiTheme="minorEastAsia"/>
          <w:sz w:val="21"/>
          <w:szCs w:val="21"/>
          <w:lang w:val="en-US"/>
        </w:rPr>
        <w:t>IT</w:t>
      </w:r>
      <w:r w:rsidRPr="00795C9E">
        <w:rPr>
          <w:rFonts w:ascii="Times New Roman" w:eastAsiaTheme="minorEastAsia" w:hAnsiTheme="minorEastAsia" w:hint="eastAsia"/>
          <w:sz w:val="21"/>
          <w:szCs w:val="21"/>
          <w:lang w:val="en-US"/>
        </w:rPr>
        <w:t>系统故障等风险。</w:t>
      </w:r>
    </w:p>
    <w:p w:rsidR="00211754" w:rsidRPr="00211754" w:rsidRDefault="00211754" w:rsidP="00211754">
      <w:pPr>
        <w:widowControl w:val="0"/>
        <w:autoSpaceDE w:val="0"/>
        <w:autoSpaceDN w:val="0"/>
        <w:adjustRightInd w:val="0"/>
        <w:rPr>
          <w:rFonts w:ascii="Times New Roman" w:eastAsiaTheme="minorEastAsia" w:hAnsiTheme="minorEastAsia"/>
          <w:sz w:val="21"/>
          <w:szCs w:val="21"/>
          <w:lang w:val="en-US"/>
        </w:rPr>
      </w:pPr>
    </w:p>
    <w:p w:rsidR="00CC5E23" w:rsidRPr="00CC5E23" w:rsidRDefault="00CC5E23" w:rsidP="00CC5E23">
      <w:pPr>
        <w:pStyle w:val="Default"/>
        <w:spacing w:line="360" w:lineRule="auto"/>
        <w:ind w:firstLineChars="196" w:firstLine="413"/>
        <w:jc w:val="both"/>
        <w:rPr>
          <w:rFonts w:ascii="Times New Roman" w:eastAsiaTheme="minorEastAsia" w:cs="Times New Roman"/>
          <w:b/>
          <w:sz w:val="21"/>
          <w:szCs w:val="21"/>
        </w:rPr>
      </w:pPr>
      <w:r w:rsidRPr="00CC5E23">
        <w:rPr>
          <w:rFonts w:ascii="Times New Roman" w:eastAsiaTheme="minorEastAsia" w:hAnsiTheme="minorEastAsia" w:cs="Times New Roman" w:hint="eastAsia"/>
          <w:b/>
          <w:sz w:val="21"/>
          <w:szCs w:val="21"/>
        </w:rPr>
        <w:lastRenderedPageBreak/>
        <w:t>二、业绩情况概览</w:t>
      </w:r>
    </w:p>
    <w:p w:rsidR="00F154AC" w:rsidRPr="001F0A72" w:rsidRDefault="00CC5E23" w:rsidP="00F154AC">
      <w:pPr>
        <w:spacing w:line="360" w:lineRule="auto"/>
        <w:jc w:val="right"/>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单位：元</w:t>
      </w:r>
    </w:p>
    <w:tbl>
      <w:tblPr>
        <w:tblW w:w="8396" w:type="dxa"/>
        <w:jc w:val="center"/>
        <w:tblInd w:w="97" w:type="dxa"/>
        <w:tblBorders>
          <w:top w:val="single" w:sz="4" w:space="0" w:color="auto"/>
          <w:bottom w:val="single" w:sz="4" w:space="0" w:color="auto"/>
          <w:insideH w:val="single" w:sz="4" w:space="0" w:color="auto"/>
          <w:insideV w:val="single" w:sz="4" w:space="0" w:color="auto"/>
        </w:tblBorders>
        <w:tblLook w:val="04A0"/>
      </w:tblPr>
      <w:tblGrid>
        <w:gridCol w:w="2283"/>
        <w:gridCol w:w="6113"/>
      </w:tblGrid>
      <w:tr w:rsidR="00B249DC" w:rsidRPr="001F0A72" w:rsidTr="009C62B9">
        <w:trPr>
          <w:trHeight w:val="283"/>
          <w:jc w:val="center"/>
        </w:trPr>
        <w:tc>
          <w:tcPr>
            <w:tcW w:w="2283" w:type="dxa"/>
            <w:shd w:val="clear" w:color="auto" w:fill="auto"/>
            <w:noWrap/>
            <w:vAlign w:val="center"/>
            <w:hideMark/>
          </w:tcPr>
          <w:p w:rsidR="00DD739D" w:rsidRDefault="00CC5E23">
            <w:pPr>
              <w:jc w:val="center"/>
              <w:rPr>
                <w:rFonts w:ascii="Times New Roman" w:eastAsiaTheme="minorEastAsia" w:hAnsi="Times New Roman"/>
                <w:color w:val="000000"/>
                <w:sz w:val="21"/>
                <w:szCs w:val="21"/>
                <w:lang w:val="en-US"/>
              </w:rPr>
            </w:pPr>
            <w:r w:rsidRPr="00CC5E23">
              <w:rPr>
                <w:rFonts w:ascii="Times New Roman" w:eastAsiaTheme="minorEastAsia" w:hAnsiTheme="minorEastAsia" w:hint="eastAsia"/>
                <w:color w:val="000000"/>
                <w:sz w:val="21"/>
                <w:szCs w:val="21"/>
                <w:lang w:val="en-US"/>
              </w:rPr>
              <w:t>资产评估日</w:t>
            </w:r>
          </w:p>
        </w:tc>
        <w:tc>
          <w:tcPr>
            <w:tcW w:w="6113" w:type="dxa"/>
            <w:shd w:val="clear" w:color="auto" w:fill="auto"/>
            <w:noWrap/>
            <w:vAlign w:val="center"/>
            <w:hideMark/>
          </w:tcPr>
          <w:p w:rsidR="00DD739D" w:rsidRDefault="00CC5E23" w:rsidP="00201A45">
            <w:pPr>
              <w:jc w:val="center"/>
              <w:rPr>
                <w:rFonts w:ascii="Times New Roman" w:eastAsiaTheme="minorEastAsia" w:hAnsi="Times New Roman"/>
                <w:color w:val="000000"/>
                <w:sz w:val="21"/>
                <w:szCs w:val="21"/>
                <w:lang w:val="en-US"/>
              </w:rPr>
            </w:pPr>
            <w:r w:rsidRPr="00CC5E23">
              <w:rPr>
                <w:rFonts w:ascii="Times New Roman" w:eastAsiaTheme="minorEastAsia" w:hAnsiTheme="minorEastAsia" w:hint="eastAsia"/>
                <w:color w:val="000000"/>
                <w:sz w:val="21"/>
                <w:szCs w:val="21"/>
                <w:lang w:val="en-US"/>
              </w:rPr>
              <w:t>国华</w:t>
            </w:r>
            <w:r w:rsidR="00201A45">
              <w:rPr>
                <w:rFonts w:ascii="Times New Roman" w:eastAsiaTheme="minorEastAsia" w:hAnsiTheme="minorEastAsia" w:hint="eastAsia"/>
                <w:color w:val="000000"/>
                <w:sz w:val="21"/>
                <w:szCs w:val="21"/>
                <w:lang w:val="en-US"/>
              </w:rPr>
              <w:t>1</w:t>
            </w:r>
            <w:r w:rsidR="00201A45">
              <w:rPr>
                <w:rFonts w:ascii="Times New Roman" w:eastAsiaTheme="minorEastAsia" w:hAnsiTheme="minorEastAsia" w:hint="eastAsia"/>
                <w:color w:val="000000"/>
                <w:sz w:val="21"/>
                <w:szCs w:val="21"/>
                <w:lang w:val="en-US"/>
              </w:rPr>
              <w:t>号稳健</w:t>
            </w:r>
            <w:r w:rsidRPr="00CC5E23">
              <w:rPr>
                <w:rFonts w:ascii="Times New Roman" w:eastAsiaTheme="minorEastAsia" w:hAnsiTheme="minorEastAsia" w:hint="eastAsia"/>
                <w:color w:val="000000"/>
                <w:sz w:val="21"/>
                <w:szCs w:val="21"/>
                <w:lang w:val="en-US"/>
              </w:rPr>
              <w:t>型投资账户卖出价格</w:t>
            </w:r>
          </w:p>
        </w:tc>
      </w:tr>
      <w:tr w:rsidR="007E6F7C" w:rsidRPr="001F0A72" w:rsidTr="009C62B9">
        <w:trPr>
          <w:trHeight w:val="299"/>
          <w:jc w:val="center"/>
        </w:trPr>
        <w:tc>
          <w:tcPr>
            <w:tcW w:w="2283" w:type="dxa"/>
            <w:shd w:val="clear" w:color="auto" w:fill="auto"/>
            <w:noWrap/>
            <w:vAlign w:val="center"/>
            <w:hideMark/>
          </w:tcPr>
          <w:p w:rsidR="007E6F7C" w:rsidRPr="001F0A72" w:rsidRDefault="00795C9E" w:rsidP="00AA4C9F">
            <w:pPr>
              <w:jc w:val="center"/>
              <w:rPr>
                <w:rFonts w:ascii="Times New Roman" w:eastAsiaTheme="minorEastAsia" w:hAnsi="Times New Roman"/>
                <w:color w:val="000000"/>
                <w:sz w:val="21"/>
                <w:szCs w:val="21"/>
                <w:lang w:val="en-US"/>
              </w:rPr>
            </w:pPr>
            <w:r>
              <w:rPr>
                <w:rFonts w:ascii="Times New Roman" w:hAnsi="Times New Roman"/>
                <w:sz w:val="21"/>
                <w:szCs w:val="21"/>
                <w:lang w:val="en-US"/>
              </w:rPr>
              <w:t>2015-11-</w:t>
            </w:r>
            <w:r w:rsidR="00640545">
              <w:rPr>
                <w:rFonts w:ascii="Times New Roman" w:hAnsi="Times New Roman" w:hint="eastAsia"/>
                <w:sz w:val="21"/>
                <w:szCs w:val="21"/>
                <w:lang w:val="en-US"/>
              </w:rPr>
              <w:t>12</w:t>
            </w:r>
          </w:p>
        </w:tc>
        <w:tc>
          <w:tcPr>
            <w:tcW w:w="6113" w:type="dxa"/>
            <w:shd w:val="clear" w:color="auto" w:fill="auto"/>
            <w:noWrap/>
            <w:vAlign w:val="center"/>
            <w:hideMark/>
          </w:tcPr>
          <w:p w:rsidR="007E6F7C" w:rsidRPr="00E857C7" w:rsidRDefault="00795C9E" w:rsidP="00E857C7">
            <w:pPr>
              <w:jc w:val="center"/>
              <w:rPr>
                <w:rFonts w:ascii="Times New Roman" w:eastAsiaTheme="minorEastAsia" w:hAnsi="Times New Roman"/>
                <w:color w:val="000000"/>
                <w:sz w:val="21"/>
                <w:szCs w:val="21"/>
                <w:lang w:val="en-US"/>
              </w:rPr>
            </w:pPr>
            <w:r>
              <w:rPr>
                <w:rFonts w:ascii="Times New Roman" w:hAnsi="Times New Roman"/>
                <w:sz w:val="21"/>
                <w:szCs w:val="21"/>
                <w:lang w:val="en-US"/>
              </w:rPr>
              <w:t>1.00</w:t>
            </w:r>
            <w:r w:rsidR="00640545">
              <w:rPr>
                <w:rFonts w:ascii="Times New Roman" w:hAnsi="Times New Roman" w:hint="eastAsia"/>
                <w:sz w:val="21"/>
                <w:szCs w:val="21"/>
                <w:lang w:val="en-US"/>
              </w:rPr>
              <w:t>000000</w:t>
            </w:r>
          </w:p>
        </w:tc>
      </w:tr>
      <w:tr w:rsidR="007E6F7C" w:rsidRPr="001F0A72" w:rsidTr="009C62B9">
        <w:trPr>
          <w:trHeight w:val="299"/>
          <w:jc w:val="center"/>
        </w:trPr>
        <w:tc>
          <w:tcPr>
            <w:tcW w:w="2283" w:type="dxa"/>
            <w:shd w:val="clear" w:color="auto" w:fill="auto"/>
            <w:noWrap/>
            <w:vAlign w:val="center"/>
            <w:hideMark/>
          </w:tcPr>
          <w:p w:rsidR="007E6F7C" w:rsidRPr="00CC5E23" w:rsidRDefault="007E6F7C" w:rsidP="00AA4C9F">
            <w:pPr>
              <w:jc w:val="center"/>
              <w:rPr>
                <w:rFonts w:ascii="Times New Roman" w:eastAsiaTheme="minorEastAsia" w:hAnsi="Times New Roman"/>
                <w:color w:val="000000"/>
                <w:sz w:val="21"/>
                <w:szCs w:val="21"/>
                <w:lang w:val="en-US"/>
              </w:rPr>
            </w:pPr>
            <w:r>
              <w:rPr>
                <w:rFonts w:ascii="Times New Roman" w:eastAsiaTheme="minorEastAsia" w:hAnsi="Times New Roman" w:hint="eastAsia"/>
                <w:color w:val="000000"/>
                <w:sz w:val="21"/>
                <w:szCs w:val="21"/>
                <w:lang w:val="en-US"/>
              </w:rPr>
              <w:t>2015-12-31</w:t>
            </w:r>
          </w:p>
        </w:tc>
        <w:tc>
          <w:tcPr>
            <w:tcW w:w="6113" w:type="dxa"/>
            <w:shd w:val="clear" w:color="auto" w:fill="auto"/>
            <w:noWrap/>
            <w:vAlign w:val="center"/>
            <w:hideMark/>
          </w:tcPr>
          <w:p w:rsidR="007E6F7C" w:rsidRPr="00E857C7" w:rsidRDefault="00795C9E" w:rsidP="00E857C7">
            <w:pPr>
              <w:jc w:val="center"/>
              <w:rPr>
                <w:rFonts w:ascii="Times New Roman" w:eastAsiaTheme="minorEastAsia" w:hAnsi="Times New Roman"/>
                <w:color w:val="000000"/>
                <w:sz w:val="21"/>
                <w:szCs w:val="21"/>
                <w:lang w:val="en-US"/>
              </w:rPr>
            </w:pPr>
            <w:r>
              <w:rPr>
                <w:rFonts w:ascii="Times New Roman" w:hAnsi="Times New Roman"/>
                <w:sz w:val="21"/>
                <w:szCs w:val="21"/>
                <w:lang w:val="en-US"/>
              </w:rPr>
              <w:t>1.00771767</w:t>
            </w:r>
          </w:p>
        </w:tc>
      </w:tr>
      <w:tr w:rsidR="007E6F7C" w:rsidRPr="001F0A72" w:rsidTr="009C62B9">
        <w:trPr>
          <w:trHeight w:val="299"/>
          <w:jc w:val="center"/>
        </w:trPr>
        <w:tc>
          <w:tcPr>
            <w:tcW w:w="2283" w:type="dxa"/>
            <w:shd w:val="clear" w:color="auto" w:fill="auto"/>
            <w:noWrap/>
            <w:vAlign w:val="center"/>
            <w:hideMark/>
          </w:tcPr>
          <w:p w:rsidR="007E6F7C" w:rsidRPr="00C27D30" w:rsidRDefault="00795C9E" w:rsidP="00B66EAC">
            <w:pPr>
              <w:jc w:val="center"/>
              <w:rPr>
                <w:rFonts w:ascii="Times New Roman" w:eastAsiaTheme="minorEastAsia" w:hAnsi="Times New Roman"/>
                <w:color w:val="000000"/>
                <w:sz w:val="21"/>
                <w:szCs w:val="21"/>
                <w:lang w:val="en-US"/>
              </w:rPr>
            </w:pPr>
            <w:r>
              <w:rPr>
                <w:rFonts w:ascii="Times New Roman" w:eastAsiaTheme="minorEastAsia" w:hAnsi="Times New Roman" w:hint="eastAsia"/>
                <w:color w:val="000000"/>
                <w:sz w:val="21"/>
                <w:szCs w:val="21"/>
                <w:lang w:val="en-US"/>
              </w:rPr>
              <w:t>201</w:t>
            </w:r>
            <w:r w:rsidR="00B638ED">
              <w:rPr>
                <w:rFonts w:ascii="Times New Roman" w:eastAsiaTheme="minorEastAsia" w:hAnsi="Times New Roman" w:hint="eastAsia"/>
                <w:color w:val="000000"/>
                <w:sz w:val="21"/>
                <w:szCs w:val="21"/>
                <w:lang w:val="en-US"/>
              </w:rPr>
              <w:t>6</w:t>
            </w:r>
            <w:r>
              <w:rPr>
                <w:rFonts w:ascii="Times New Roman" w:eastAsiaTheme="minorEastAsia" w:hAnsi="Times New Roman" w:hint="eastAsia"/>
                <w:color w:val="000000"/>
                <w:sz w:val="21"/>
                <w:szCs w:val="21"/>
                <w:lang w:val="en-US"/>
              </w:rPr>
              <w:t>-3-31</w:t>
            </w:r>
          </w:p>
        </w:tc>
        <w:tc>
          <w:tcPr>
            <w:tcW w:w="6113" w:type="dxa"/>
            <w:shd w:val="clear" w:color="auto" w:fill="auto"/>
            <w:noWrap/>
            <w:vAlign w:val="center"/>
            <w:hideMark/>
          </w:tcPr>
          <w:p w:rsidR="007E6F7C" w:rsidRPr="00795C9E" w:rsidRDefault="00795C9E" w:rsidP="00795C9E">
            <w:pPr>
              <w:jc w:val="center"/>
              <w:rPr>
                <w:rFonts w:ascii="Times New Roman" w:hAnsi="Times New Roman"/>
                <w:sz w:val="21"/>
                <w:szCs w:val="21"/>
                <w:lang w:val="en-US"/>
              </w:rPr>
            </w:pPr>
            <w:r w:rsidRPr="00795C9E">
              <w:rPr>
                <w:rFonts w:ascii="Times New Roman" w:hAnsi="Times New Roman"/>
                <w:sz w:val="21"/>
                <w:szCs w:val="21"/>
                <w:lang w:val="en-US"/>
              </w:rPr>
              <w:t>1.02125986</w:t>
            </w:r>
          </w:p>
        </w:tc>
      </w:tr>
      <w:tr w:rsidR="007E6F7C" w:rsidRPr="001F0A72" w:rsidTr="009C62B9">
        <w:trPr>
          <w:trHeight w:val="299"/>
          <w:jc w:val="center"/>
        </w:trPr>
        <w:tc>
          <w:tcPr>
            <w:tcW w:w="2283" w:type="dxa"/>
            <w:shd w:val="clear" w:color="auto" w:fill="auto"/>
            <w:noWrap/>
            <w:vAlign w:val="center"/>
            <w:hideMark/>
          </w:tcPr>
          <w:p w:rsidR="007E6F7C" w:rsidRPr="00C27D30" w:rsidRDefault="00795C9E" w:rsidP="00B66EAC">
            <w:pPr>
              <w:jc w:val="center"/>
              <w:rPr>
                <w:rFonts w:ascii="Times New Roman" w:eastAsiaTheme="minorEastAsia" w:hAnsi="Times New Roman"/>
                <w:color w:val="000000"/>
                <w:sz w:val="21"/>
                <w:szCs w:val="21"/>
                <w:lang w:val="en-US"/>
              </w:rPr>
            </w:pPr>
            <w:r>
              <w:rPr>
                <w:rFonts w:ascii="Times New Roman" w:eastAsiaTheme="minorEastAsia" w:hAnsi="Times New Roman" w:hint="eastAsia"/>
                <w:color w:val="000000"/>
                <w:sz w:val="21"/>
                <w:szCs w:val="21"/>
                <w:lang w:val="en-US"/>
              </w:rPr>
              <w:t>2016-6-30</w:t>
            </w:r>
          </w:p>
        </w:tc>
        <w:tc>
          <w:tcPr>
            <w:tcW w:w="6113" w:type="dxa"/>
            <w:shd w:val="clear" w:color="auto" w:fill="auto"/>
            <w:noWrap/>
            <w:vAlign w:val="center"/>
            <w:hideMark/>
          </w:tcPr>
          <w:p w:rsidR="007E6F7C" w:rsidRPr="00795C9E" w:rsidRDefault="00795C9E" w:rsidP="00E857C7">
            <w:pPr>
              <w:jc w:val="center"/>
              <w:rPr>
                <w:rFonts w:ascii="Times New Roman" w:hAnsi="Times New Roman"/>
                <w:sz w:val="21"/>
                <w:szCs w:val="21"/>
                <w:lang w:val="en-US"/>
              </w:rPr>
            </w:pPr>
            <w:r w:rsidRPr="00795C9E">
              <w:rPr>
                <w:rFonts w:ascii="Times New Roman" w:hAnsi="Times New Roman"/>
                <w:sz w:val="21"/>
                <w:szCs w:val="21"/>
                <w:lang w:val="en-US"/>
              </w:rPr>
              <w:t>1.03498402</w:t>
            </w:r>
          </w:p>
        </w:tc>
      </w:tr>
    </w:tbl>
    <w:p w:rsidR="00DD739D" w:rsidRDefault="007655D7">
      <w:pPr>
        <w:pStyle w:val="Default"/>
        <w:spacing w:line="360" w:lineRule="auto"/>
        <w:contextualSpacing/>
        <w:rPr>
          <w:rFonts w:ascii="Times New Roman" w:eastAsiaTheme="minorEastAsia" w:cs="Times New Roman"/>
          <w:sz w:val="21"/>
          <w:szCs w:val="21"/>
        </w:rPr>
      </w:pPr>
      <w:r>
        <w:rPr>
          <w:rFonts w:ascii="Times New Roman" w:eastAsiaTheme="minorEastAsia" w:hAnsiTheme="minorEastAsia" w:cs="Times New Roman" w:hint="eastAsia"/>
          <w:sz w:val="21"/>
          <w:szCs w:val="21"/>
        </w:rPr>
        <w:t xml:space="preserve">    </w:t>
      </w:r>
      <w:r w:rsidR="00CC5E23" w:rsidRPr="00CC5E23">
        <w:rPr>
          <w:rFonts w:ascii="Times New Roman" w:eastAsiaTheme="minorEastAsia" w:hAnsiTheme="minorEastAsia" w:cs="Times New Roman" w:hint="eastAsia"/>
          <w:sz w:val="21"/>
          <w:szCs w:val="21"/>
        </w:rPr>
        <w:t>国华</w:t>
      </w:r>
      <w:r w:rsidR="00DB58A6">
        <w:rPr>
          <w:rFonts w:ascii="Times New Roman" w:eastAsiaTheme="minorEastAsia" w:hAnsiTheme="minorEastAsia" w:cs="Times New Roman" w:hint="eastAsia"/>
          <w:sz w:val="21"/>
          <w:szCs w:val="21"/>
        </w:rPr>
        <w:t>1</w:t>
      </w:r>
      <w:r w:rsidR="00DB58A6">
        <w:rPr>
          <w:rFonts w:ascii="Times New Roman" w:eastAsiaTheme="minorEastAsia" w:hAnsiTheme="minorEastAsia" w:cs="Times New Roman" w:hint="eastAsia"/>
          <w:sz w:val="21"/>
          <w:szCs w:val="21"/>
        </w:rPr>
        <w:t>号稳健</w:t>
      </w:r>
      <w:r w:rsidR="00CC5E23" w:rsidRPr="00CC5E23">
        <w:rPr>
          <w:rFonts w:ascii="Times New Roman" w:eastAsiaTheme="minorEastAsia" w:hAnsiTheme="minorEastAsia" w:cs="Times New Roman" w:hint="eastAsia"/>
          <w:sz w:val="21"/>
          <w:szCs w:val="21"/>
        </w:rPr>
        <w:t>型投资账户的买入价等于卖出价。</w:t>
      </w:r>
    </w:p>
    <w:tbl>
      <w:tblPr>
        <w:tblW w:w="8367" w:type="dxa"/>
        <w:tblInd w:w="97" w:type="dxa"/>
        <w:tblBorders>
          <w:top w:val="single" w:sz="4" w:space="0" w:color="auto"/>
          <w:bottom w:val="single" w:sz="4" w:space="0" w:color="auto"/>
          <w:insideH w:val="single" w:sz="4" w:space="0" w:color="auto"/>
          <w:insideV w:val="single" w:sz="4" w:space="0" w:color="auto"/>
        </w:tblBorders>
        <w:tblLook w:val="04A0"/>
      </w:tblPr>
      <w:tblGrid>
        <w:gridCol w:w="2275"/>
        <w:gridCol w:w="6092"/>
      </w:tblGrid>
      <w:tr w:rsidR="000E6389" w:rsidRPr="001F0A72" w:rsidTr="009C62B9">
        <w:trPr>
          <w:trHeight w:val="279"/>
        </w:trPr>
        <w:tc>
          <w:tcPr>
            <w:tcW w:w="2275" w:type="dxa"/>
            <w:shd w:val="clear" w:color="auto" w:fill="auto"/>
            <w:noWrap/>
            <w:vAlign w:val="center"/>
            <w:hideMark/>
          </w:tcPr>
          <w:p w:rsidR="000E6389" w:rsidRPr="001F0A72" w:rsidRDefault="00CC5E23" w:rsidP="000E6389">
            <w:pPr>
              <w:jc w:val="center"/>
              <w:rPr>
                <w:rFonts w:ascii="Times New Roman" w:eastAsiaTheme="minorEastAsia" w:hAnsi="Times New Roman"/>
                <w:color w:val="000000"/>
                <w:sz w:val="21"/>
                <w:szCs w:val="21"/>
                <w:lang w:val="en-US"/>
              </w:rPr>
            </w:pPr>
            <w:r w:rsidRPr="00CC5E23">
              <w:rPr>
                <w:rFonts w:ascii="Times New Roman" w:eastAsiaTheme="minorEastAsia" w:hAnsiTheme="minorEastAsia" w:hint="eastAsia"/>
                <w:color w:val="000000"/>
                <w:sz w:val="21"/>
                <w:szCs w:val="21"/>
                <w:lang w:val="en-US"/>
              </w:rPr>
              <w:t>期间</w:t>
            </w:r>
          </w:p>
        </w:tc>
        <w:tc>
          <w:tcPr>
            <w:tcW w:w="6092" w:type="dxa"/>
            <w:shd w:val="clear" w:color="auto" w:fill="auto"/>
            <w:noWrap/>
            <w:vAlign w:val="center"/>
            <w:hideMark/>
          </w:tcPr>
          <w:p w:rsidR="000E6389" w:rsidRPr="001F0A72" w:rsidRDefault="00CC5E23" w:rsidP="000E6389">
            <w:pPr>
              <w:jc w:val="center"/>
              <w:rPr>
                <w:rFonts w:ascii="Times New Roman" w:eastAsiaTheme="minorEastAsia" w:hAnsi="Times New Roman"/>
                <w:color w:val="000000"/>
                <w:sz w:val="21"/>
                <w:szCs w:val="21"/>
                <w:lang w:val="en-US"/>
              </w:rPr>
            </w:pPr>
            <w:r w:rsidRPr="00CC5E23">
              <w:rPr>
                <w:rFonts w:ascii="Times New Roman" w:eastAsiaTheme="minorEastAsia" w:hAnsiTheme="minorEastAsia" w:hint="eastAsia"/>
                <w:color w:val="000000"/>
                <w:sz w:val="21"/>
                <w:szCs w:val="21"/>
                <w:lang w:val="en-US"/>
              </w:rPr>
              <w:t>净值增长率（年化）</w:t>
            </w:r>
          </w:p>
        </w:tc>
      </w:tr>
      <w:tr w:rsidR="007E6F7C" w:rsidRPr="001F0A72" w:rsidTr="009C62B9">
        <w:trPr>
          <w:trHeight w:val="294"/>
        </w:trPr>
        <w:tc>
          <w:tcPr>
            <w:tcW w:w="2275" w:type="dxa"/>
            <w:shd w:val="clear" w:color="auto" w:fill="auto"/>
            <w:noWrap/>
            <w:vAlign w:val="center"/>
            <w:hideMark/>
          </w:tcPr>
          <w:p w:rsidR="007E6F7C" w:rsidRPr="004E2444" w:rsidRDefault="00795C9E" w:rsidP="002959D1">
            <w:pPr>
              <w:jc w:val="center"/>
              <w:rPr>
                <w:rFonts w:ascii="Times New Roman" w:eastAsiaTheme="minorEastAsia" w:hAnsi="Times New Roman"/>
                <w:color w:val="000000"/>
                <w:sz w:val="21"/>
                <w:szCs w:val="21"/>
              </w:rPr>
            </w:pPr>
            <w:r>
              <w:rPr>
                <w:rFonts w:ascii="Times New Roman" w:hAnsi="Times New Roman"/>
                <w:sz w:val="21"/>
                <w:szCs w:val="21"/>
                <w:lang w:val="en-US"/>
              </w:rPr>
              <w:t>2015-12</w:t>
            </w:r>
          </w:p>
        </w:tc>
        <w:tc>
          <w:tcPr>
            <w:tcW w:w="6092" w:type="dxa"/>
            <w:shd w:val="clear" w:color="auto" w:fill="auto"/>
            <w:noWrap/>
            <w:vAlign w:val="center"/>
            <w:hideMark/>
          </w:tcPr>
          <w:p w:rsidR="007E6F7C" w:rsidRPr="00C25AE1" w:rsidRDefault="00795C9E" w:rsidP="00C25AE1">
            <w:pPr>
              <w:jc w:val="center"/>
              <w:rPr>
                <w:rFonts w:ascii="Times New Roman" w:eastAsiaTheme="minorEastAsia" w:hAnsi="Times New Roman"/>
                <w:color w:val="000000"/>
                <w:sz w:val="21"/>
                <w:szCs w:val="21"/>
                <w:lang w:val="en-US"/>
              </w:rPr>
            </w:pPr>
            <w:r>
              <w:rPr>
                <w:rFonts w:ascii="Times New Roman" w:hAnsi="Times New Roman"/>
                <w:sz w:val="21"/>
                <w:szCs w:val="21"/>
                <w:lang w:val="en-US"/>
              </w:rPr>
              <w:t>5.</w:t>
            </w:r>
            <w:r w:rsidR="00640545">
              <w:rPr>
                <w:rFonts w:ascii="Times New Roman" w:hAnsi="Times New Roman" w:hint="eastAsia"/>
                <w:sz w:val="21"/>
                <w:szCs w:val="21"/>
                <w:lang w:val="en-US"/>
              </w:rPr>
              <w:t>63</w:t>
            </w:r>
            <w:r>
              <w:rPr>
                <w:rFonts w:ascii="Times New Roman" w:hAnsi="Times New Roman"/>
                <w:sz w:val="21"/>
                <w:szCs w:val="21"/>
                <w:lang w:val="en-US"/>
              </w:rPr>
              <w:t>%</w:t>
            </w:r>
          </w:p>
        </w:tc>
      </w:tr>
      <w:tr w:rsidR="007E6F7C" w:rsidRPr="001F0A72" w:rsidTr="009C62B9">
        <w:trPr>
          <w:trHeight w:val="294"/>
        </w:trPr>
        <w:tc>
          <w:tcPr>
            <w:tcW w:w="2275" w:type="dxa"/>
            <w:shd w:val="clear" w:color="auto" w:fill="auto"/>
            <w:noWrap/>
            <w:vAlign w:val="center"/>
            <w:hideMark/>
          </w:tcPr>
          <w:p w:rsidR="007E6F7C" w:rsidRPr="004E2444" w:rsidRDefault="00795C9E" w:rsidP="002959D1">
            <w:pPr>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2016-</w:t>
            </w:r>
            <w:r w:rsidR="007D0A2C">
              <w:rPr>
                <w:rFonts w:ascii="Times New Roman" w:eastAsiaTheme="minorEastAsia" w:hAnsi="Times New Roman" w:hint="eastAsia"/>
                <w:color w:val="000000"/>
                <w:sz w:val="21"/>
                <w:szCs w:val="21"/>
              </w:rPr>
              <w:t>0</w:t>
            </w:r>
            <w:r>
              <w:rPr>
                <w:rFonts w:ascii="Times New Roman" w:eastAsiaTheme="minorEastAsia" w:hAnsi="Times New Roman" w:hint="eastAsia"/>
                <w:color w:val="000000"/>
                <w:sz w:val="21"/>
                <w:szCs w:val="21"/>
              </w:rPr>
              <w:t>3</w:t>
            </w:r>
          </w:p>
        </w:tc>
        <w:tc>
          <w:tcPr>
            <w:tcW w:w="6092" w:type="dxa"/>
            <w:shd w:val="clear" w:color="auto" w:fill="auto"/>
            <w:noWrap/>
            <w:vAlign w:val="center"/>
            <w:hideMark/>
          </w:tcPr>
          <w:p w:rsidR="007E6F7C" w:rsidRPr="00C25AE1" w:rsidRDefault="00795C9E" w:rsidP="00795C9E">
            <w:pPr>
              <w:jc w:val="center"/>
              <w:rPr>
                <w:rFonts w:ascii="Times New Roman" w:eastAsiaTheme="minorEastAsia" w:hAnsi="Times New Roman"/>
                <w:color w:val="000000"/>
                <w:sz w:val="21"/>
                <w:szCs w:val="21"/>
                <w:lang w:val="en-US"/>
              </w:rPr>
            </w:pPr>
            <w:r>
              <w:rPr>
                <w:rFonts w:ascii="Times New Roman" w:hAnsi="Times New Roman"/>
                <w:color w:val="000000"/>
                <w:sz w:val="21"/>
                <w:szCs w:val="21"/>
              </w:rPr>
              <w:t>5.39%</w:t>
            </w:r>
          </w:p>
        </w:tc>
      </w:tr>
      <w:tr w:rsidR="007E6F7C" w:rsidRPr="001F0A72" w:rsidTr="009C62B9">
        <w:trPr>
          <w:trHeight w:val="294"/>
        </w:trPr>
        <w:tc>
          <w:tcPr>
            <w:tcW w:w="2275" w:type="dxa"/>
            <w:shd w:val="clear" w:color="auto" w:fill="auto"/>
            <w:noWrap/>
            <w:vAlign w:val="center"/>
            <w:hideMark/>
          </w:tcPr>
          <w:p w:rsidR="007E6F7C" w:rsidRPr="00795C9E" w:rsidRDefault="00795C9E" w:rsidP="002959D1">
            <w:pPr>
              <w:jc w:val="center"/>
              <w:rPr>
                <w:rFonts w:ascii="Times New Roman" w:hAnsi="Times New Roman"/>
                <w:sz w:val="21"/>
                <w:szCs w:val="21"/>
                <w:lang w:val="en-US"/>
              </w:rPr>
            </w:pPr>
            <w:r>
              <w:rPr>
                <w:rFonts w:ascii="Times New Roman" w:hAnsi="Times New Roman"/>
                <w:sz w:val="21"/>
                <w:szCs w:val="21"/>
                <w:lang w:val="en-US"/>
              </w:rPr>
              <w:t>201</w:t>
            </w:r>
            <w:r>
              <w:rPr>
                <w:rFonts w:ascii="Times New Roman" w:hAnsi="Times New Roman" w:hint="eastAsia"/>
                <w:sz w:val="21"/>
                <w:szCs w:val="21"/>
                <w:lang w:val="en-US"/>
              </w:rPr>
              <w:t>6</w:t>
            </w:r>
            <w:r>
              <w:rPr>
                <w:rFonts w:ascii="Times New Roman" w:hAnsi="Times New Roman"/>
                <w:sz w:val="21"/>
                <w:szCs w:val="21"/>
                <w:lang w:val="en-US"/>
              </w:rPr>
              <w:t>-</w:t>
            </w:r>
            <w:r w:rsidR="007D0A2C">
              <w:rPr>
                <w:rFonts w:ascii="Times New Roman" w:hAnsi="Times New Roman" w:hint="eastAsia"/>
                <w:sz w:val="21"/>
                <w:szCs w:val="21"/>
                <w:lang w:val="en-US"/>
              </w:rPr>
              <w:t>0</w:t>
            </w:r>
            <w:r>
              <w:rPr>
                <w:rFonts w:ascii="Times New Roman" w:hAnsi="Times New Roman" w:hint="eastAsia"/>
                <w:sz w:val="21"/>
                <w:szCs w:val="21"/>
                <w:lang w:val="en-US"/>
              </w:rPr>
              <w:t>6</w:t>
            </w:r>
          </w:p>
        </w:tc>
        <w:tc>
          <w:tcPr>
            <w:tcW w:w="6092" w:type="dxa"/>
            <w:shd w:val="clear" w:color="auto" w:fill="auto"/>
            <w:noWrap/>
            <w:vAlign w:val="center"/>
            <w:hideMark/>
          </w:tcPr>
          <w:p w:rsidR="007E6F7C" w:rsidRPr="00C25AE1" w:rsidRDefault="00795C9E" w:rsidP="00795C9E">
            <w:pPr>
              <w:jc w:val="center"/>
              <w:rPr>
                <w:rFonts w:ascii="Times New Roman" w:eastAsiaTheme="minorEastAsia" w:hAnsi="Times New Roman"/>
                <w:color w:val="000000"/>
                <w:sz w:val="21"/>
                <w:szCs w:val="21"/>
                <w:lang w:val="en-US"/>
              </w:rPr>
            </w:pPr>
            <w:r>
              <w:rPr>
                <w:rFonts w:ascii="Times New Roman" w:hAnsi="Times New Roman"/>
                <w:color w:val="000000"/>
                <w:sz w:val="21"/>
                <w:szCs w:val="21"/>
              </w:rPr>
              <w:t>5.39%</w:t>
            </w:r>
          </w:p>
        </w:tc>
      </w:tr>
    </w:tbl>
    <w:p w:rsidR="00DD739D" w:rsidRDefault="00CC5E23">
      <w:pPr>
        <w:spacing w:line="360" w:lineRule="auto"/>
        <w:jc w:val="both"/>
        <w:rPr>
          <w:rFonts w:ascii="Times New Roman" w:eastAsiaTheme="minorEastAsia" w:hAnsi="Times New Roman"/>
          <w:sz w:val="18"/>
          <w:szCs w:val="18"/>
        </w:rPr>
      </w:pPr>
      <w:r w:rsidRPr="00CC5E23">
        <w:rPr>
          <w:rFonts w:ascii="Times New Roman" w:eastAsiaTheme="minorEastAsia" w:hAnsi="Times New Roman"/>
          <w:sz w:val="18"/>
          <w:szCs w:val="18"/>
        </w:rPr>
        <w:t>*</w:t>
      </w:r>
      <w:r w:rsidR="00BD7336">
        <w:rPr>
          <w:rFonts w:ascii="Times New Roman" w:eastAsiaTheme="minorEastAsia" w:hAnsiTheme="minorEastAsia" w:hint="eastAsia"/>
          <w:sz w:val="18"/>
          <w:szCs w:val="18"/>
        </w:rPr>
        <w:t>净值增长率（年化）＝（本期期末卖出价</w:t>
      </w:r>
      <w:r w:rsidR="00BD7336">
        <w:rPr>
          <w:rFonts w:ascii="Times New Roman" w:eastAsiaTheme="minorEastAsia" w:hAnsiTheme="minorEastAsia" w:hint="eastAsia"/>
          <w:sz w:val="18"/>
          <w:szCs w:val="18"/>
        </w:rPr>
        <w:t>-</w:t>
      </w:r>
      <w:r w:rsidRPr="00CC5E23">
        <w:rPr>
          <w:rFonts w:ascii="Times New Roman" w:eastAsiaTheme="minorEastAsia" w:hAnsiTheme="minorEastAsia" w:hint="eastAsia"/>
          <w:sz w:val="18"/>
          <w:szCs w:val="18"/>
        </w:rPr>
        <w:t>上期期末卖出价）</w:t>
      </w:r>
      <w:r w:rsidRPr="00CC5E23">
        <w:rPr>
          <w:rFonts w:ascii="Times New Roman" w:eastAsiaTheme="minorEastAsia" w:hAnsi="Times New Roman"/>
          <w:sz w:val="18"/>
          <w:szCs w:val="18"/>
        </w:rPr>
        <w:t>/</w:t>
      </w:r>
      <w:r w:rsidRPr="00CC5E23">
        <w:rPr>
          <w:rFonts w:ascii="Times New Roman" w:eastAsiaTheme="minorEastAsia" w:hAnsiTheme="minorEastAsia" w:hint="eastAsia"/>
          <w:sz w:val="18"/>
          <w:szCs w:val="18"/>
        </w:rPr>
        <w:t>上期期末卖出价</w:t>
      </w:r>
      <w:r w:rsidR="00290828">
        <w:rPr>
          <w:rFonts w:ascii="Times New Roman" w:eastAsiaTheme="minorEastAsia" w:hAnsiTheme="minorEastAsia" w:hint="eastAsia"/>
          <w:sz w:val="18"/>
          <w:szCs w:val="18"/>
        </w:rPr>
        <w:t>/</w:t>
      </w:r>
      <w:r w:rsidR="00290828">
        <w:rPr>
          <w:rFonts w:ascii="Times New Roman" w:eastAsiaTheme="minorEastAsia" w:hAnsiTheme="minorEastAsia" w:hint="eastAsia"/>
          <w:sz w:val="18"/>
          <w:szCs w:val="18"/>
        </w:rPr>
        <w:t>持有天数</w:t>
      </w:r>
      <w:r w:rsidR="00290828">
        <w:rPr>
          <w:rFonts w:ascii="Times New Roman" w:eastAsiaTheme="minorEastAsia" w:hAnsi="Times New Roman"/>
          <w:sz w:val="18"/>
          <w:szCs w:val="18"/>
        </w:rPr>
        <w:t>*</w:t>
      </w:r>
      <w:r w:rsidR="00290828">
        <w:rPr>
          <w:rFonts w:ascii="Times New Roman" w:eastAsiaTheme="minorEastAsia" w:hAnsi="Times New Roman" w:hint="eastAsia"/>
          <w:sz w:val="18"/>
          <w:szCs w:val="18"/>
        </w:rPr>
        <w:t>365</w:t>
      </w:r>
      <w:r w:rsidRPr="00CC5E23">
        <w:rPr>
          <w:rFonts w:ascii="Times New Roman" w:eastAsiaTheme="minorEastAsia" w:hAnsi="Times New Roman"/>
          <w:sz w:val="18"/>
          <w:szCs w:val="18"/>
        </w:rPr>
        <w:t>*100%</w:t>
      </w:r>
    </w:p>
    <w:p w:rsidR="006917A4" w:rsidRPr="00795C9E" w:rsidRDefault="00795C9E" w:rsidP="00795C9E">
      <w:pPr>
        <w:spacing w:line="360" w:lineRule="auto"/>
        <w:ind w:firstLine="420"/>
        <w:jc w:val="both"/>
        <w:rPr>
          <w:rFonts w:ascii="Times New Roman" w:eastAsiaTheme="minorEastAsia" w:hAnsi="Times New Roman"/>
          <w:sz w:val="21"/>
          <w:szCs w:val="21"/>
        </w:rPr>
      </w:pPr>
      <w:r w:rsidRPr="00795C9E">
        <w:rPr>
          <w:rFonts w:ascii="Times New Roman" w:eastAsiaTheme="minorEastAsia" w:hAnsi="Times New Roman"/>
          <w:sz w:val="21"/>
          <w:szCs w:val="21"/>
        </w:rPr>
        <w:t>*2015</w:t>
      </w:r>
      <w:r w:rsidRPr="00795C9E">
        <w:rPr>
          <w:rFonts w:ascii="Times New Roman" w:eastAsiaTheme="minorEastAsia" w:hAnsi="Times New Roman" w:hint="eastAsia"/>
          <w:sz w:val="21"/>
          <w:szCs w:val="21"/>
        </w:rPr>
        <w:t>年</w:t>
      </w:r>
      <w:r w:rsidRPr="00795C9E">
        <w:rPr>
          <w:rFonts w:ascii="Times New Roman" w:eastAsiaTheme="minorEastAsia" w:hAnsi="Times New Roman"/>
          <w:sz w:val="21"/>
          <w:szCs w:val="21"/>
        </w:rPr>
        <w:t>12</w:t>
      </w:r>
      <w:r w:rsidRPr="00795C9E">
        <w:rPr>
          <w:rFonts w:ascii="Times New Roman" w:eastAsiaTheme="minorEastAsia" w:hAnsi="Times New Roman" w:hint="eastAsia"/>
          <w:sz w:val="21"/>
          <w:szCs w:val="21"/>
        </w:rPr>
        <w:t>月：上期期末卖出价为</w:t>
      </w:r>
      <w:r w:rsidR="000F4357">
        <w:rPr>
          <w:rFonts w:ascii="Times New Roman" w:eastAsiaTheme="minorEastAsia" w:hAnsi="Times New Roman"/>
          <w:sz w:val="21"/>
          <w:szCs w:val="21"/>
        </w:rPr>
        <w:t>2015</w:t>
      </w:r>
      <w:r w:rsidRPr="00795C9E">
        <w:rPr>
          <w:rFonts w:ascii="Times New Roman" w:eastAsiaTheme="minorEastAsia" w:hAnsi="Times New Roman" w:hint="eastAsia"/>
          <w:sz w:val="21"/>
          <w:szCs w:val="21"/>
        </w:rPr>
        <w:t>年</w:t>
      </w:r>
      <w:r w:rsidRPr="00795C9E">
        <w:rPr>
          <w:rFonts w:ascii="Times New Roman" w:eastAsiaTheme="minorEastAsia" w:hAnsi="Times New Roman"/>
          <w:sz w:val="21"/>
          <w:szCs w:val="21"/>
        </w:rPr>
        <w:t>11</w:t>
      </w:r>
      <w:r w:rsidRPr="00795C9E">
        <w:rPr>
          <w:rFonts w:ascii="Times New Roman" w:eastAsiaTheme="minorEastAsia" w:hAnsi="Times New Roman" w:hint="eastAsia"/>
          <w:sz w:val="21"/>
          <w:szCs w:val="21"/>
        </w:rPr>
        <w:t>月</w:t>
      </w:r>
      <w:r w:rsidR="00852C81">
        <w:rPr>
          <w:rFonts w:ascii="Times New Roman" w:eastAsiaTheme="minorEastAsia" w:hAnsi="Times New Roman" w:hint="eastAsia"/>
          <w:sz w:val="21"/>
          <w:szCs w:val="21"/>
        </w:rPr>
        <w:t>12</w:t>
      </w:r>
      <w:r w:rsidRPr="00795C9E">
        <w:rPr>
          <w:rFonts w:ascii="Times New Roman" w:eastAsiaTheme="minorEastAsia" w:hAnsi="Times New Roman" w:hint="eastAsia"/>
          <w:sz w:val="21"/>
          <w:szCs w:val="21"/>
        </w:rPr>
        <w:t>日的投资单位卖出价，本期期末卖出价为</w:t>
      </w:r>
      <w:r w:rsidRPr="00795C9E">
        <w:rPr>
          <w:rFonts w:ascii="Times New Roman" w:eastAsiaTheme="minorEastAsia" w:hAnsi="Times New Roman"/>
          <w:sz w:val="21"/>
          <w:szCs w:val="21"/>
        </w:rPr>
        <w:t>2015</w:t>
      </w:r>
      <w:r w:rsidRPr="00795C9E">
        <w:rPr>
          <w:rFonts w:ascii="Times New Roman" w:eastAsiaTheme="minorEastAsia" w:hAnsi="Times New Roman" w:hint="eastAsia"/>
          <w:sz w:val="21"/>
          <w:szCs w:val="21"/>
        </w:rPr>
        <w:t>年</w:t>
      </w:r>
      <w:r w:rsidRPr="00795C9E">
        <w:rPr>
          <w:rFonts w:ascii="Times New Roman" w:eastAsiaTheme="minorEastAsia" w:hAnsi="Times New Roman"/>
          <w:sz w:val="21"/>
          <w:szCs w:val="21"/>
        </w:rPr>
        <w:t>12</w:t>
      </w:r>
      <w:r w:rsidRPr="00795C9E">
        <w:rPr>
          <w:rFonts w:ascii="Times New Roman" w:eastAsiaTheme="minorEastAsia" w:hAnsi="Times New Roman" w:hint="eastAsia"/>
          <w:sz w:val="21"/>
          <w:szCs w:val="21"/>
        </w:rPr>
        <w:t>月</w:t>
      </w:r>
      <w:r w:rsidRPr="00795C9E">
        <w:rPr>
          <w:rFonts w:ascii="Times New Roman" w:eastAsiaTheme="minorEastAsia" w:hAnsi="Times New Roman"/>
          <w:sz w:val="21"/>
          <w:szCs w:val="21"/>
        </w:rPr>
        <w:t>31</w:t>
      </w:r>
      <w:r w:rsidRPr="00795C9E">
        <w:rPr>
          <w:rFonts w:ascii="Times New Roman" w:eastAsiaTheme="minorEastAsia" w:hAnsi="Times New Roman" w:hint="eastAsia"/>
          <w:sz w:val="21"/>
          <w:szCs w:val="21"/>
        </w:rPr>
        <w:t>日的投资单位卖出价。</w:t>
      </w:r>
    </w:p>
    <w:p w:rsidR="00795C9E" w:rsidRPr="00795C9E" w:rsidRDefault="00795C9E" w:rsidP="00795C9E">
      <w:pPr>
        <w:spacing w:line="360" w:lineRule="auto"/>
        <w:ind w:firstLine="420"/>
        <w:jc w:val="both"/>
        <w:rPr>
          <w:rFonts w:ascii="Times New Roman" w:eastAsiaTheme="minorEastAsia" w:hAnsi="Times New Roman"/>
          <w:sz w:val="21"/>
          <w:szCs w:val="21"/>
        </w:rPr>
      </w:pPr>
      <w:r w:rsidRPr="00795C9E">
        <w:rPr>
          <w:rFonts w:ascii="Times New Roman" w:eastAsiaTheme="minorEastAsia" w:hAnsi="Times New Roman"/>
          <w:sz w:val="21"/>
          <w:szCs w:val="21"/>
        </w:rPr>
        <w:t>*201</w:t>
      </w:r>
      <w:r>
        <w:rPr>
          <w:rFonts w:ascii="Times New Roman" w:eastAsiaTheme="minorEastAsia" w:hAnsi="Times New Roman" w:hint="eastAsia"/>
          <w:sz w:val="21"/>
          <w:szCs w:val="21"/>
        </w:rPr>
        <w:t>6</w:t>
      </w:r>
      <w:r w:rsidRPr="00795C9E">
        <w:rPr>
          <w:rFonts w:ascii="Times New Roman" w:eastAsiaTheme="minorEastAsia" w:hAnsi="Times New Roman" w:hint="eastAsia"/>
          <w:sz w:val="21"/>
          <w:szCs w:val="21"/>
        </w:rPr>
        <w:t>年</w:t>
      </w:r>
      <w:r>
        <w:rPr>
          <w:rFonts w:ascii="Times New Roman" w:eastAsiaTheme="minorEastAsia" w:hAnsi="Times New Roman" w:hint="eastAsia"/>
          <w:sz w:val="21"/>
          <w:szCs w:val="21"/>
        </w:rPr>
        <w:t>3</w:t>
      </w:r>
      <w:r w:rsidRPr="00795C9E">
        <w:rPr>
          <w:rFonts w:ascii="Times New Roman" w:eastAsiaTheme="minorEastAsia" w:hAnsi="Times New Roman" w:hint="eastAsia"/>
          <w:sz w:val="21"/>
          <w:szCs w:val="21"/>
        </w:rPr>
        <w:t>月：上期期末卖出价为</w:t>
      </w:r>
      <w:r w:rsidRPr="00795C9E">
        <w:rPr>
          <w:rFonts w:ascii="Times New Roman" w:eastAsiaTheme="minorEastAsia" w:hAnsi="Times New Roman"/>
          <w:sz w:val="21"/>
          <w:szCs w:val="21"/>
        </w:rPr>
        <w:t>2015</w:t>
      </w:r>
      <w:r w:rsidRPr="00795C9E">
        <w:rPr>
          <w:rFonts w:ascii="Times New Roman" w:eastAsiaTheme="minorEastAsia" w:hAnsi="Times New Roman" w:hint="eastAsia"/>
          <w:sz w:val="21"/>
          <w:szCs w:val="21"/>
        </w:rPr>
        <w:t>年</w:t>
      </w:r>
      <w:r>
        <w:rPr>
          <w:rFonts w:ascii="Times New Roman" w:eastAsiaTheme="minorEastAsia" w:hAnsi="Times New Roman" w:hint="eastAsia"/>
          <w:sz w:val="21"/>
          <w:szCs w:val="21"/>
        </w:rPr>
        <w:t>1</w:t>
      </w:r>
      <w:r w:rsidR="00141142">
        <w:rPr>
          <w:rFonts w:ascii="Times New Roman" w:eastAsiaTheme="minorEastAsia" w:hAnsi="Times New Roman" w:hint="eastAsia"/>
          <w:sz w:val="21"/>
          <w:szCs w:val="21"/>
        </w:rPr>
        <w:t>2</w:t>
      </w:r>
      <w:r w:rsidRPr="00795C9E">
        <w:rPr>
          <w:rFonts w:ascii="Times New Roman" w:eastAsiaTheme="minorEastAsia" w:hAnsi="Times New Roman" w:hint="eastAsia"/>
          <w:sz w:val="21"/>
          <w:szCs w:val="21"/>
        </w:rPr>
        <w:t>月</w:t>
      </w:r>
      <w:r w:rsidRPr="00795C9E">
        <w:rPr>
          <w:rFonts w:ascii="Times New Roman" w:eastAsiaTheme="minorEastAsia" w:hAnsi="Times New Roman"/>
          <w:sz w:val="21"/>
          <w:szCs w:val="21"/>
        </w:rPr>
        <w:t>3</w:t>
      </w:r>
      <w:r>
        <w:rPr>
          <w:rFonts w:ascii="Times New Roman" w:eastAsiaTheme="minorEastAsia" w:hAnsi="Times New Roman" w:hint="eastAsia"/>
          <w:sz w:val="21"/>
          <w:szCs w:val="21"/>
        </w:rPr>
        <w:t>1</w:t>
      </w:r>
      <w:r w:rsidRPr="00795C9E">
        <w:rPr>
          <w:rFonts w:ascii="Times New Roman" w:eastAsiaTheme="minorEastAsia" w:hAnsi="Times New Roman" w:hint="eastAsia"/>
          <w:sz w:val="21"/>
          <w:szCs w:val="21"/>
        </w:rPr>
        <w:t>日的投资单位卖出价，本期期末卖出价为</w:t>
      </w:r>
      <w:r w:rsidRPr="00795C9E">
        <w:rPr>
          <w:rFonts w:ascii="Times New Roman" w:eastAsiaTheme="minorEastAsia" w:hAnsi="Times New Roman"/>
          <w:sz w:val="21"/>
          <w:szCs w:val="21"/>
        </w:rPr>
        <w:t>201</w:t>
      </w:r>
      <w:r>
        <w:rPr>
          <w:rFonts w:ascii="Times New Roman" w:eastAsiaTheme="minorEastAsia" w:hAnsi="Times New Roman" w:hint="eastAsia"/>
          <w:sz w:val="21"/>
          <w:szCs w:val="21"/>
        </w:rPr>
        <w:t>6</w:t>
      </w:r>
      <w:r w:rsidRPr="00795C9E">
        <w:rPr>
          <w:rFonts w:ascii="Times New Roman" w:eastAsiaTheme="minorEastAsia" w:hAnsi="Times New Roman" w:hint="eastAsia"/>
          <w:sz w:val="21"/>
          <w:szCs w:val="21"/>
        </w:rPr>
        <w:t>年</w:t>
      </w:r>
      <w:r>
        <w:rPr>
          <w:rFonts w:ascii="Times New Roman" w:eastAsiaTheme="minorEastAsia" w:hAnsi="Times New Roman" w:hint="eastAsia"/>
          <w:sz w:val="21"/>
          <w:szCs w:val="21"/>
        </w:rPr>
        <w:t>3</w:t>
      </w:r>
      <w:r w:rsidRPr="00795C9E">
        <w:rPr>
          <w:rFonts w:ascii="Times New Roman" w:eastAsiaTheme="minorEastAsia" w:hAnsi="Times New Roman" w:hint="eastAsia"/>
          <w:sz w:val="21"/>
          <w:szCs w:val="21"/>
        </w:rPr>
        <w:t>月</w:t>
      </w:r>
      <w:r w:rsidRPr="00795C9E">
        <w:rPr>
          <w:rFonts w:ascii="Times New Roman" w:eastAsiaTheme="minorEastAsia" w:hAnsi="Times New Roman"/>
          <w:sz w:val="21"/>
          <w:szCs w:val="21"/>
        </w:rPr>
        <w:t>31</w:t>
      </w:r>
      <w:r w:rsidRPr="00795C9E">
        <w:rPr>
          <w:rFonts w:ascii="Times New Roman" w:eastAsiaTheme="minorEastAsia" w:hAnsi="Times New Roman" w:hint="eastAsia"/>
          <w:sz w:val="21"/>
          <w:szCs w:val="21"/>
        </w:rPr>
        <w:t>日的投资单位卖出价。</w:t>
      </w:r>
    </w:p>
    <w:p w:rsidR="00141142" w:rsidRPr="00795C9E" w:rsidRDefault="00141142" w:rsidP="00141142">
      <w:pPr>
        <w:spacing w:line="360" w:lineRule="auto"/>
        <w:ind w:firstLine="420"/>
        <w:jc w:val="both"/>
        <w:rPr>
          <w:rFonts w:ascii="Times New Roman" w:eastAsiaTheme="minorEastAsia" w:hAnsi="Times New Roman"/>
          <w:sz w:val="21"/>
          <w:szCs w:val="21"/>
        </w:rPr>
      </w:pPr>
      <w:r w:rsidRPr="00795C9E">
        <w:rPr>
          <w:rFonts w:ascii="Times New Roman" w:eastAsiaTheme="minorEastAsia" w:hAnsi="Times New Roman"/>
          <w:sz w:val="21"/>
          <w:szCs w:val="21"/>
        </w:rPr>
        <w:t>*201</w:t>
      </w:r>
      <w:r>
        <w:rPr>
          <w:rFonts w:ascii="Times New Roman" w:eastAsiaTheme="minorEastAsia" w:hAnsi="Times New Roman" w:hint="eastAsia"/>
          <w:sz w:val="21"/>
          <w:szCs w:val="21"/>
        </w:rPr>
        <w:t>6</w:t>
      </w:r>
      <w:r w:rsidRPr="00795C9E">
        <w:rPr>
          <w:rFonts w:ascii="Times New Roman" w:eastAsiaTheme="minorEastAsia" w:hAnsi="Times New Roman" w:hint="eastAsia"/>
          <w:sz w:val="21"/>
          <w:szCs w:val="21"/>
        </w:rPr>
        <w:t>年</w:t>
      </w:r>
      <w:r>
        <w:rPr>
          <w:rFonts w:ascii="Times New Roman" w:eastAsiaTheme="minorEastAsia" w:hAnsi="Times New Roman" w:hint="eastAsia"/>
          <w:sz w:val="21"/>
          <w:szCs w:val="21"/>
        </w:rPr>
        <w:t>6</w:t>
      </w:r>
      <w:r w:rsidRPr="00795C9E">
        <w:rPr>
          <w:rFonts w:ascii="Times New Roman" w:eastAsiaTheme="minorEastAsia" w:hAnsi="Times New Roman" w:hint="eastAsia"/>
          <w:sz w:val="21"/>
          <w:szCs w:val="21"/>
        </w:rPr>
        <w:t>月：上期期末卖出价为</w:t>
      </w:r>
      <w:r w:rsidRPr="00795C9E">
        <w:rPr>
          <w:rFonts w:ascii="Times New Roman" w:eastAsiaTheme="minorEastAsia" w:hAnsi="Times New Roman"/>
          <w:sz w:val="21"/>
          <w:szCs w:val="21"/>
        </w:rPr>
        <w:t>201</w:t>
      </w:r>
      <w:r>
        <w:rPr>
          <w:rFonts w:ascii="Times New Roman" w:eastAsiaTheme="minorEastAsia" w:hAnsi="Times New Roman" w:hint="eastAsia"/>
          <w:sz w:val="21"/>
          <w:szCs w:val="21"/>
        </w:rPr>
        <w:t>6</w:t>
      </w:r>
      <w:r w:rsidRPr="00795C9E">
        <w:rPr>
          <w:rFonts w:ascii="Times New Roman" w:eastAsiaTheme="minorEastAsia" w:hAnsi="Times New Roman" w:hint="eastAsia"/>
          <w:sz w:val="21"/>
          <w:szCs w:val="21"/>
        </w:rPr>
        <w:t>年</w:t>
      </w:r>
      <w:r>
        <w:rPr>
          <w:rFonts w:ascii="Times New Roman" w:eastAsiaTheme="minorEastAsia" w:hAnsi="Times New Roman" w:hint="eastAsia"/>
          <w:sz w:val="21"/>
          <w:szCs w:val="21"/>
        </w:rPr>
        <w:t>3</w:t>
      </w:r>
      <w:r w:rsidRPr="00795C9E">
        <w:rPr>
          <w:rFonts w:ascii="Times New Roman" w:eastAsiaTheme="minorEastAsia" w:hAnsi="Times New Roman" w:hint="eastAsia"/>
          <w:sz w:val="21"/>
          <w:szCs w:val="21"/>
        </w:rPr>
        <w:t>月</w:t>
      </w:r>
      <w:r w:rsidRPr="00795C9E">
        <w:rPr>
          <w:rFonts w:ascii="Times New Roman" w:eastAsiaTheme="minorEastAsia" w:hAnsi="Times New Roman"/>
          <w:sz w:val="21"/>
          <w:szCs w:val="21"/>
        </w:rPr>
        <w:t>3</w:t>
      </w:r>
      <w:r>
        <w:rPr>
          <w:rFonts w:ascii="Times New Roman" w:eastAsiaTheme="minorEastAsia" w:hAnsi="Times New Roman" w:hint="eastAsia"/>
          <w:sz w:val="21"/>
          <w:szCs w:val="21"/>
        </w:rPr>
        <w:t>1</w:t>
      </w:r>
      <w:r w:rsidRPr="00795C9E">
        <w:rPr>
          <w:rFonts w:ascii="Times New Roman" w:eastAsiaTheme="minorEastAsia" w:hAnsi="Times New Roman" w:hint="eastAsia"/>
          <w:sz w:val="21"/>
          <w:szCs w:val="21"/>
        </w:rPr>
        <w:t>日的投资单位卖出价，本期期末卖出价为</w:t>
      </w:r>
      <w:r w:rsidRPr="00795C9E">
        <w:rPr>
          <w:rFonts w:ascii="Times New Roman" w:eastAsiaTheme="minorEastAsia" w:hAnsi="Times New Roman"/>
          <w:sz w:val="21"/>
          <w:szCs w:val="21"/>
        </w:rPr>
        <w:t>201</w:t>
      </w:r>
      <w:r>
        <w:rPr>
          <w:rFonts w:ascii="Times New Roman" w:eastAsiaTheme="minorEastAsia" w:hAnsi="Times New Roman" w:hint="eastAsia"/>
          <w:sz w:val="21"/>
          <w:szCs w:val="21"/>
        </w:rPr>
        <w:t>6</w:t>
      </w:r>
      <w:r w:rsidRPr="00795C9E">
        <w:rPr>
          <w:rFonts w:ascii="Times New Roman" w:eastAsiaTheme="minorEastAsia" w:hAnsi="Times New Roman" w:hint="eastAsia"/>
          <w:sz w:val="21"/>
          <w:szCs w:val="21"/>
        </w:rPr>
        <w:t>年</w:t>
      </w:r>
      <w:r>
        <w:rPr>
          <w:rFonts w:ascii="Times New Roman" w:eastAsiaTheme="minorEastAsia" w:hAnsi="Times New Roman" w:hint="eastAsia"/>
          <w:sz w:val="21"/>
          <w:szCs w:val="21"/>
        </w:rPr>
        <w:t>6</w:t>
      </w:r>
      <w:r w:rsidRPr="00795C9E">
        <w:rPr>
          <w:rFonts w:ascii="Times New Roman" w:eastAsiaTheme="minorEastAsia" w:hAnsi="Times New Roman" w:hint="eastAsia"/>
          <w:sz w:val="21"/>
          <w:szCs w:val="21"/>
        </w:rPr>
        <w:t>月</w:t>
      </w:r>
      <w:r w:rsidRPr="00795C9E">
        <w:rPr>
          <w:rFonts w:ascii="Times New Roman" w:eastAsiaTheme="minorEastAsia" w:hAnsi="Times New Roman"/>
          <w:sz w:val="21"/>
          <w:szCs w:val="21"/>
        </w:rPr>
        <w:t>3</w:t>
      </w:r>
      <w:r>
        <w:rPr>
          <w:rFonts w:ascii="Times New Roman" w:eastAsiaTheme="minorEastAsia" w:hAnsi="Times New Roman" w:hint="eastAsia"/>
          <w:sz w:val="21"/>
          <w:szCs w:val="21"/>
        </w:rPr>
        <w:t>0</w:t>
      </w:r>
      <w:r w:rsidRPr="00795C9E">
        <w:rPr>
          <w:rFonts w:ascii="Times New Roman" w:eastAsiaTheme="minorEastAsia" w:hAnsi="Times New Roman" w:hint="eastAsia"/>
          <w:sz w:val="21"/>
          <w:szCs w:val="21"/>
        </w:rPr>
        <w:t>日的投资单位卖出价。</w:t>
      </w:r>
    </w:p>
    <w:p w:rsidR="00315156" w:rsidRPr="007511D3" w:rsidRDefault="00CC5E23" w:rsidP="00AF546A">
      <w:pPr>
        <w:spacing w:line="360" w:lineRule="auto"/>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图</w:t>
      </w:r>
      <w:r w:rsidRPr="00CC5E23">
        <w:rPr>
          <w:rFonts w:ascii="Times New Roman" w:eastAsiaTheme="minorEastAsia" w:hAnsi="Times New Roman"/>
          <w:sz w:val="21"/>
          <w:szCs w:val="21"/>
          <w:lang w:val="en-US"/>
        </w:rPr>
        <w:t>1</w:t>
      </w:r>
      <w:r w:rsidRPr="00CC5E23">
        <w:rPr>
          <w:rFonts w:ascii="Times New Roman" w:eastAsiaTheme="minorEastAsia" w:hAnsiTheme="minorEastAsia" w:hint="eastAsia"/>
          <w:sz w:val="21"/>
          <w:szCs w:val="21"/>
          <w:lang w:val="en-US"/>
        </w:rPr>
        <w:t>：</w:t>
      </w:r>
      <w:r w:rsidR="004072E0">
        <w:rPr>
          <w:rFonts w:ascii="Times New Roman" w:eastAsiaTheme="minorEastAsia" w:hAnsiTheme="minorEastAsia" w:hint="eastAsia"/>
          <w:sz w:val="21"/>
          <w:szCs w:val="21"/>
          <w:lang w:val="en-US"/>
        </w:rPr>
        <w:t>国华</w:t>
      </w:r>
      <w:r w:rsidR="00DB58A6">
        <w:rPr>
          <w:rFonts w:ascii="Times New Roman" w:eastAsiaTheme="minorEastAsia" w:hAnsiTheme="minorEastAsia" w:hint="eastAsia"/>
          <w:sz w:val="21"/>
          <w:szCs w:val="21"/>
          <w:lang w:val="en-US"/>
        </w:rPr>
        <w:t>1</w:t>
      </w:r>
      <w:r w:rsidR="00DB58A6">
        <w:rPr>
          <w:rFonts w:ascii="Times New Roman" w:eastAsiaTheme="minorEastAsia" w:hAnsiTheme="minorEastAsia" w:hint="eastAsia"/>
          <w:sz w:val="21"/>
          <w:szCs w:val="21"/>
          <w:lang w:val="en-US"/>
        </w:rPr>
        <w:t>号稳健</w:t>
      </w:r>
      <w:r w:rsidRPr="00CC5E23">
        <w:rPr>
          <w:rFonts w:ascii="Times New Roman" w:eastAsiaTheme="minorEastAsia" w:hAnsiTheme="minorEastAsia" w:hint="eastAsia"/>
          <w:sz w:val="21"/>
          <w:szCs w:val="21"/>
          <w:lang w:val="en-US"/>
        </w:rPr>
        <w:t>型投资账户单位净值变动图</w:t>
      </w:r>
    </w:p>
    <w:p w:rsidR="00206FCB" w:rsidRDefault="00CC5E23" w:rsidP="00D1268B">
      <w:pPr>
        <w:spacing w:line="360" w:lineRule="auto"/>
        <w:jc w:val="right"/>
        <w:rPr>
          <w:rFonts w:ascii="Times New Roman" w:eastAsiaTheme="minorEastAsia" w:hAnsiTheme="minorEastAsia"/>
          <w:sz w:val="21"/>
          <w:szCs w:val="21"/>
          <w:lang w:val="en-US"/>
        </w:rPr>
      </w:pPr>
      <w:r w:rsidRPr="00CC5E23">
        <w:rPr>
          <w:rFonts w:ascii="Times New Roman" w:eastAsiaTheme="minorEastAsia" w:hAnsiTheme="minorEastAsia" w:hint="eastAsia"/>
          <w:sz w:val="21"/>
          <w:szCs w:val="21"/>
          <w:lang w:val="en-US"/>
        </w:rPr>
        <w:t>单位：元</w:t>
      </w:r>
    </w:p>
    <w:p w:rsidR="00693721" w:rsidRDefault="006917A4" w:rsidP="00693721">
      <w:pPr>
        <w:spacing w:line="360" w:lineRule="auto"/>
        <w:ind w:firstLineChars="100" w:firstLine="210"/>
        <w:rPr>
          <w:rFonts w:ascii="Times New Roman" w:eastAsiaTheme="minorEastAsia" w:hAnsiTheme="minorEastAsia"/>
          <w:sz w:val="21"/>
          <w:szCs w:val="21"/>
          <w:lang w:val="en-US"/>
        </w:rPr>
      </w:pPr>
      <w:r w:rsidRPr="006917A4">
        <w:rPr>
          <w:rFonts w:ascii="Times New Roman" w:eastAsiaTheme="minorEastAsia" w:hAnsiTheme="minorEastAsia"/>
          <w:noProof/>
          <w:sz w:val="21"/>
          <w:szCs w:val="21"/>
          <w:lang w:val="en-US"/>
        </w:rPr>
        <w:drawing>
          <wp:inline distT="0" distB="0" distL="0" distR="0">
            <wp:extent cx="5295900" cy="2247900"/>
            <wp:effectExtent l="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3721" w:rsidRDefault="00693721" w:rsidP="00693721">
      <w:pPr>
        <w:spacing w:line="360" w:lineRule="auto"/>
        <w:ind w:firstLineChars="100" w:firstLine="210"/>
        <w:rPr>
          <w:rFonts w:ascii="Times New Roman" w:eastAsiaTheme="minorEastAsia" w:hAnsiTheme="minorEastAsia"/>
          <w:sz w:val="21"/>
          <w:szCs w:val="21"/>
          <w:lang w:val="en-US"/>
        </w:rPr>
      </w:pPr>
    </w:p>
    <w:p w:rsidR="00693721" w:rsidRDefault="00693721" w:rsidP="00693721">
      <w:pPr>
        <w:spacing w:line="360" w:lineRule="auto"/>
        <w:ind w:firstLineChars="100" w:firstLine="210"/>
        <w:rPr>
          <w:rFonts w:ascii="Times New Roman" w:eastAsiaTheme="minorEastAsia" w:hAnsiTheme="minorEastAsia" w:hint="eastAsia"/>
          <w:sz w:val="21"/>
          <w:szCs w:val="21"/>
          <w:lang w:val="en-US"/>
        </w:rPr>
      </w:pPr>
    </w:p>
    <w:p w:rsidR="00921903" w:rsidRDefault="00921903" w:rsidP="00693721">
      <w:pPr>
        <w:spacing w:line="360" w:lineRule="auto"/>
        <w:ind w:firstLineChars="100" w:firstLine="210"/>
        <w:rPr>
          <w:rFonts w:ascii="Times New Roman" w:eastAsiaTheme="minorEastAsia" w:hAnsiTheme="minorEastAsia"/>
          <w:sz w:val="21"/>
          <w:szCs w:val="21"/>
          <w:lang w:val="en-US"/>
        </w:rPr>
      </w:pPr>
    </w:p>
    <w:p w:rsidR="00DD739D" w:rsidRPr="000F4357" w:rsidRDefault="00CC5E23" w:rsidP="000F4357">
      <w:pPr>
        <w:spacing w:line="360" w:lineRule="auto"/>
        <w:ind w:firstLineChars="196" w:firstLine="413"/>
        <w:contextualSpacing/>
        <w:jc w:val="both"/>
        <w:rPr>
          <w:rFonts w:ascii="Times New Roman" w:eastAsiaTheme="minorEastAsia" w:hAnsiTheme="minorEastAsia"/>
          <w:b/>
          <w:sz w:val="21"/>
          <w:szCs w:val="21"/>
          <w:lang w:val="en-US"/>
        </w:rPr>
      </w:pPr>
      <w:r w:rsidRPr="00CC5E23">
        <w:rPr>
          <w:rFonts w:ascii="Times New Roman" w:eastAsiaTheme="minorEastAsia" w:hAnsiTheme="minorEastAsia" w:hint="eastAsia"/>
          <w:b/>
          <w:sz w:val="21"/>
          <w:szCs w:val="21"/>
          <w:lang w:val="en-US"/>
        </w:rPr>
        <w:lastRenderedPageBreak/>
        <w:t>三、简要财务状况</w:t>
      </w:r>
    </w:p>
    <w:p w:rsidR="00DD739D" w:rsidRPr="00E27DDD" w:rsidRDefault="00CC5E23" w:rsidP="00E27DDD">
      <w:pPr>
        <w:spacing w:line="360" w:lineRule="auto"/>
        <w:ind w:firstLineChars="196" w:firstLine="412"/>
        <w:contextualSpacing/>
        <w:jc w:val="both"/>
        <w:rPr>
          <w:rFonts w:ascii="Times New Roman" w:eastAsiaTheme="minorEastAsia" w:hAnsiTheme="minorEastAsia"/>
          <w:sz w:val="21"/>
          <w:szCs w:val="21"/>
          <w:lang w:val="en-US"/>
        </w:rPr>
      </w:pPr>
      <w:r w:rsidRPr="00EE30BC">
        <w:rPr>
          <w:rFonts w:ascii="Times New Roman" w:eastAsiaTheme="minorEastAsia" w:hAnsiTheme="minorEastAsia" w:hint="eastAsia"/>
          <w:sz w:val="21"/>
          <w:szCs w:val="21"/>
          <w:lang w:val="en-US"/>
        </w:rPr>
        <w:t>截至</w:t>
      </w:r>
      <w:r w:rsidRPr="00EE30BC">
        <w:rPr>
          <w:rFonts w:ascii="Times New Roman" w:eastAsiaTheme="minorEastAsia" w:hAnsiTheme="minorEastAsia"/>
          <w:sz w:val="21"/>
          <w:szCs w:val="21"/>
          <w:lang w:val="en-US"/>
        </w:rPr>
        <w:t>201</w:t>
      </w:r>
      <w:r w:rsidR="00EE30BC" w:rsidRPr="00EE30BC">
        <w:rPr>
          <w:rFonts w:ascii="Times New Roman" w:eastAsiaTheme="minorEastAsia" w:hAnsiTheme="minorEastAsia" w:hint="eastAsia"/>
          <w:sz w:val="21"/>
          <w:szCs w:val="21"/>
          <w:lang w:val="en-US"/>
        </w:rPr>
        <w:t>6</w:t>
      </w:r>
      <w:r w:rsidRPr="00EE30BC">
        <w:rPr>
          <w:rFonts w:ascii="Times New Roman" w:eastAsiaTheme="minorEastAsia" w:hAnsiTheme="minorEastAsia" w:hint="eastAsia"/>
          <w:sz w:val="21"/>
          <w:szCs w:val="21"/>
          <w:lang w:val="en-US"/>
        </w:rPr>
        <w:t>年</w:t>
      </w:r>
      <w:r w:rsidR="00F804AE" w:rsidRPr="00EE30BC">
        <w:rPr>
          <w:rFonts w:ascii="Times New Roman" w:eastAsiaTheme="minorEastAsia" w:hAnsiTheme="minorEastAsia" w:hint="eastAsia"/>
          <w:sz w:val="21"/>
          <w:szCs w:val="21"/>
          <w:lang w:val="en-US"/>
        </w:rPr>
        <w:t>6</w:t>
      </w:r>
      <w:r w:rsidRPr="00EE30BC">
        <w:rPr>
          <w:rFonts w:ascii="Times New Roman" w:eastAsiaTheme="minorEastAsia" w:hAnsiTheme="minorEastAsia" w:hint="eastAsia"/>
          <w:sz w:val="21"/>
          <w:szCs w:val="21"/>
          <w:lang w:val="en-US"/>
        </w:rPr>
        <w:t>月</w:t>
      </w:r>
      <w:r w:rsidR="00F804AE" w:rsidRPr="00EE30BC">
        <w:rPr>
          <w:rFonts w:ascii="Times New Roman" w:eastAsiaTheme="minorEastAsia" w:hAnsiTheme="minorEastAsia" w:hint="eastAsia"/>
          <w:sz w:val="21"/>
          <w:szCs w:val="21"/>
          <w:lang w:val="en-US"/>
        </w:rPr>
        <w:t>30</w:t>
      </w:r>
      <w:r w:rsidRPr="00EE30BC">
        <w:rPr>
          <w:rFonts w:ascii="Times New Roman" w:eastAsiaTheme="minorEastAsia" w:hAnsiTheme="minorEastAsia" w:hint="eastAsia"/>
          <w:sz w:val="21"/>
          <w:szCs w:val="21"/>
          <w:lang w:val="en-US"/>
        </w:rPr>
        <w:t>日，国华</w:t>
      </w:r>
      <w:r w:rsidR="00DB58A6">
        <w:rPr>
          <w:rFonts w:ascii="Times New Roman" w:eastAsiaTheme="minorEastAsia" w:hAnsiTheme="minorEastAsia" w:hint="eastAsia"/>
          <w:sz w:val="21"/>
          <w:szCs w:val="21"/>
          <w:lang w:val="en-US"/>
        </w:rPr>
        <w:t>1</w:t>
      </w:r>
      <w:r w:rsidR="00DB58A6">
        <w:rPr>
          <w:rFonts w:ascii="Times New Roman" w:eastAsiaTheme="minorEastAsia" w:hAnsiTheme="minorEastAsia" w:hint="eastAsia"/>
          <w:sz w:val="21"/>
          <w:szCs w:val="21"/>
          <w:lang w:val="en-US"/>
        </w:rPr>
        <w:t>号稳健</w:t>
      </w:r>
      <w:r w:rsidR="00F67C39" w:rsidRPr="00EE30BC">
        <w:rPr>
          <w:rFonts w:ascii="Times New Roman" w:eastAsiaTheme="minorEastAsia" w:hAnsiTheme="minorEastAsia" w:hint="eastAsia"/>
          <w:sz w:val="21"/>
          <w:szCs w:val="21"/>
          <w:lang w:val="en-US"/>
        </w:rPr>
        <w:t>型投资账户资产总额</w:t>
      </w:r>
      <w:r w:rsidR="00EE30BC" w:rsidRPr="00EE30BC">
        <w:rPr>
          <w:rFonts w:ascii="Times New Roman" w:eastAsiaTheme="minorEastAsia" w:hAnsiTheme="minorEastAsia" w:hint="eastAsia"/>
          <w:sz w:val="21"/>
          <w:szCs w:val="21"/>
          <w:lang w:val="en-US"/>
        </w:rPr>
        <w:t>1,690,806,574.33</w:t>
      </w:r>
      <w:r w:rsidRPr="00EE30BC">
        <w:rPr>
          <w:rFonts w:ascii="Times New Roman" w:eastAsiaTheme="minorEastAsia" w:hAnsiTheme="minorEastAsia" w:hint="eastAsia"/>
          <w:sz w:val="21"/>
          <w:szCs w:val="21"/>
          <w:lang w:val="en-US"/>
        </w:rPr>
        <w:t>元，负债</w:t>
      </w:r>
      <w:r w:rsidR="00E27DDD" w:rsidRPr="00E27DDD">
        <w:rPr>
          <w:rFonts w:ascii="Times New Roman" w:eastAsiaTheme="minorEastAsia" w:hAnsiTheme="minorEastAsia" w:hint="eastAsia"/>
          <w:sz w:val="21"/>
          <w:szCs w:val="21"/>
          <w:lang w:val="en-US"/>
        </w:rPr>
        <w:t>14,492,244.25</w:t>
      </w:r>
      <w:r w:rsidRPr="00EE30BC">
        <w:rPr>
          <w:rFonts w:ascii="Times New Roman" w:eastAsiaTheme="minorEastAsia" w:hAnsiTheme="minorEastAsia" w:hint="eastAsia"/>
          <w:sz w:val="21"/>
          <w:szCs w:val="21"/>
          <w:lang w:val="en-US"/>
        </w:rPr>
        <w:t>元，投资账户持有人权益总额</w:t>
      </w:r>
      <w:r w:rsidR="00E27DDD" w:rsidRPr="00E27DDD">
        <w:rPr>
          <w:rFonts w:ascii="Times New Roman" w:eastAsiaTheme="minorEastAsia" w:hAnsiTheme="minorEastAsia" w:hint="eastAsia"/>
          <w:sz w:val="21"/>
          <w:szCs w:val="21"/>
          <w:lang w:val="en-US"/>
        </w:rPr>
        <w:t>1,676,314,3</w:t>
      </w:r>
      <w:r w:rsidR="00567C9E">
        <w:rPr>
          <w:rFonts w:ascii="Times New Roman" w:eastAsiaTheme="minorEastAsia" w:hAnsiTheme="minorEastAsia" w:hint="eastAsia"/>
          <w:sz w:val="21"/>
          <w:szCs w:val="21"/>
          <w:lang w:val="en-US"/>
        </w:rPr>
        <w:t>30</w:t>
      </w:r>
      <w:r w:rsidR="00E27DDD" w:rsidRPr="00E27DDD">
        <w:rPr>
          <w:rFonts w:ascii="Times New Roman" w:eastAsiaTheme="minorEastAsia" w:hAnsiTheme="minorEastAsia" w:hint="eastAsia"/>
          <w:sz w:val="21"/>
          <w:szCs w:val="21"/>
          <w:lang w:val="en-US"/>
        </w:rPr>
        <w:t>.</w:t>
      </w:r>
      <w:r w:rsidR="00567C9E">
        <w:rPr>
          <w:rFonts w:ascii="Times New Roman" w:eastAsiaTheme="minorEastAsia" w:hAnsiTheme="minorEastAsia" w:hint="eastAsia"/>
          <w:sz w:val="21"/>
          <w:szCs w:val="21"/>
          <w:lang w:val="en-US"/>
        </w:rPr>
        <w:t>08</w:t>
      </w:r>
      <w:r w:rsidRPr="00EE30BC">
        <w:rPr>
          <w:rFonts w:ascii="Times New Roman" w:eastAsiaTheme="minorEastAsia" w:hAnsiTheme="minorEastAsia" w:hint="eastAsia"/>
          <w:sz w:val="21"/>
          <w:szCs w:val="21"/>
          <w:lang w:val="en-US"/>
        </w:rPr>
        <w:t>元。账户已实现累计收益</w:t>
      </w:r>
      <w:r w:rsidR="00EE30BC" w:rsidRPr="00EE30BC">
        <w:rPr>
          <w:rFonts w:ascii="Times New Roman" w:eastAsiaTheme="minorEastAsia" w:hAnsiTheme="minorEastAsia" w:hint="eastAsia"/>
          <w:sz w:val="21"/>
          <w:szCs w:val="21"/>
          <w:lang w:val="en-US"/>
        </w:rPr>
        <w:t>51,320,008.21</w:t>
      </w:r>
      <w:r w:rsidRPr="00EE30BC">
        <w:rPr>
          <w:rFonts w:ascii="Times New Roman" w:eastAsiaTheme="minorEastAsia" w:hAnsiTheme="minorEastAsia" w:hint="eastAsia"/>
          <w:sz w:val="21"/>
          <w:szCs w:val="21"/>
          <w:lang w:val="en-US"/>
        </w:rPr>
        <w:t>元，其中利息收入</w:t>
      </w:r>
      <w:r w:rsidR="00EE30BC" w:rsidRPr="00EE30BC">
        <w:rPr>
          <w:rFonts w:ascii="Times New Roman" w:eastAsiaTheme="minorEastAsia" w:hAnsiTheme="minorEastAsia" w:hint="eastAsia"/>
          <w:sz w:val="21"/>
          <w:szCs w:val="21"/>
          <w:lang w:val="en-US"/>
        </w:rPr>
        <w:t>45,959,275.15</w:t>
      </w:r>
      <w:r w:rsidRPr="00EE30BC">
        <w:rPr>
          <w:rFonts w:ascii="Times New Roman" w:eastAsiaTheme="minorEastAsia" w:hAnsiTheme="minorEastAsia" w:hint="eastAsia"/>
          <w:sz w:val="21"/>
          <w:szCs w:val="21"/>
          <w:lang w:val="en-US"/>
        </w:rPr>
        <w:t>元，红利收入</w:t>
      </w:r>
      <w:r w:rsidR="00EE30BC" w:rsidRPr="00EE30BC">
        <w:rPr>
          <w:rFonts w:ascii="Times New Roman" w:eastAsiaTheme="minorEastAsia" w:hAnsiTheme="minorEastAsia"/>
          <w:sz w:val="21"/>
          <w:szCs w:val="21"/>
          <w:lang w:val="en-US"/>
        </w:rPr>
        <w:t>4</w:t>
      </w:r>
      <w:r w:rsidR="00EE30BC" w:rsidRPr="00EE30BC">
        <w:rPr>
          <w:rFonts w:ascii="Times New Roman" w:eastAsiaTheme="minorEastAsia" w:hAnsiTheme="minorEastAsia" w:hint="eastAsia"/>
          <w:sz w:val="21"/>
          <w:szCs w:val="21"/>
          <w:lang w:val="en-US"/>
        </w:rPr>
        <w:t>,</w:t>
      </w:r>
      <w:r w:rsidR="00EE30BC" w:rsidRPr="00EE30BC">
        <w:rPr>
          <w:rFonts w:ascii="Times New Roman" w:eastAsiaTheme="minorEastAsia" w:hAnsiTheme="minorEastAsia"/>
          <w:sz w:val="21"/>
          <w:szCs w:val="21"/>
          <w:lang w:val="en-US"/>
        </w:rPr>
        <w:t>100</w:t>
      </w:r>
      <w:r w:rsidR="00EE30BC" w:rsidRPr="00EE30BC">
        <w:rPr>
          <w:rFonts w:ascii="Times New Roman" w:eastAsiaTheme="minorEastAsia" w:hAnsiTheme="minorEastAsia" w:hint="eastAsia"/>
          <w:sz w:val="21"/>
          <w:szCs w:val="21"/>
          <w:lang w:val="en-US"/>
        </w:rPr>
        <w:t>,</w:t>
      </w:r>
      <w:r w:rsidR="00EE30BC" w:rsidRPr="00EE30BC">
        <w:rPr>
          <w:rFonts w:ascii="Times New Roman" w:eastAsiaTheme="minorEastAsia" w:hAnsiTheme="minorEastAsia"/>
          <w:sz w:val="21"/>
          <w:szCs w:val="21"/>
          <w:lang w:val="en-US"/>
        </w:rPr>
        <w:t>842.73</w:t>
      </w:r>
      <w:r w:rsidRPr="00EE30BC">
        <w:rPr>
          <w:rFonts w:ascii="Times New Roman" w:eastAsiaTheme="minorEastAsia" w:hAnsiTheme="minorEastAsia" w:hint="eastAsia"/>
          <w:sz w:val="21"/>
          <w:szCs w:val="21"/>
          <w:lang w:val="en-US"/>
        </w:rPr>
        <w:t>元</w:t>
      </w:r>
      <w:r w:rsidR="00EE30BC" w:rsidRPr="00EE30BC">
        <w:rPr>
          <w:rFonts w:ascii="Times New Roman" w:eastAsiaTheme="minorEastAsia" w:hAnsiTheme="minorEastAsia" w:hint="eastAsia"/>
          <w:sz w:val="21"/>
          <w:szCs w:val="21"/>
          <w:lang w:val="en-US"/>
        </w:rPr>
        <w:t>，处置收入</w:t>
      </w:r>
      <w:r w:rsidR="00EE30BC" w:rsidRPr="00EE30BC">
        <w:rPr>
          <w:rFonts w:ascii="Times New Roman" w:eastAsiaTheme="minorEastAsia" w:hAnsiTheme="minorEastAsia"/>
          <w:sz w:val="21"/>
          <w:szCs w:val="21"/>
          <w:lang w:val="en-US"/>
        </w:rPr>
        <w:t>1</w:t>
      </w:r>
      <w:r w:rsidR="00EE30BC" w:rsidRPr="00EE30BC">
        <w:rPr>
          <w:rFonts w:ascii="Times New Roman" w:eastAsiaTheme="minorEastAsia" w:hAnsiTheme="minorEastAsia" w:hint="eastAsia"/>
          <w:sz w:val="21"/>
          <w:szCs w:val="21"/>
          <w:lang w:val="en-US"/>
        </w:rPr>
        <w:t>,</w:t>
      </w:r>
      <w:r w:rsidR="00EE30BC" w:rsidRPr="00EE30BC">
        <w:rPr>
          <w:rFonts w:ascii="Times New Roman" w:eastAsiaTheme="minorEastAsia" w:hAnsiTheme="minorEastAsia"/>
          <w:sz w:val="21"/>
          <w:szCs w:val="21"/>
          <w:lang w:val="en-US"/>
        </w:rPr>
        <w:t>259</w:t>
      </w:r>
      <w:r w:rsidR="00EE30BC" w:rsidRPr="00EE30BC">
        <w:rPr>
          <w:rFonts w:ascii="Times New Roman" w:eastAsiaTheme="minorEastAsia" w:hAnsiTheme="minorEastAsia" w:hint="eastAsia"/>
          <w:sz w:val="21"/>
          <w:szCs w:val="21"/>
          <w:lang w:val="en-US"/>
        </w:rPr>
        <w:t>,</w:t>
      </w:r>
      <w:r w:rsidR="00EE30BC" w:rsidRPr="00EE30BC">
        <w:rPr>
          <w:rFonts w:ascii="Times New Roman" w:eastAsiaTheme="minorEastAsia" w:hAnsiTheme="minorEastAsia"/>
          <w:sz w:val="21"/>
          <w:szCs w:val="21"/>
          <w:lang w:val="en-US"/>
        </w:rPr>
        <w:t>890.33</w:t>
      </w:r>
      <w:r w:rsidRPr="00EE30BC">
        <w:rPr>
          <w:rFonts w:ascii="Times New Roman" w:eastAsiaTheme="minorEastAsia" w:hAnsiTheme="minorEastAsia" w:hint="eastAsia"/>
          <w:sz w:val="21"/>
          <w:szCs w:val="21"/>
          <w:lang w:val="en-US"/>
        </w:rPr>
        <w:t>。</w:t>
      </w:r>
      <w:r w:rsidR="00451CCE" w:rsidRPr="00EE30BC">
        <w:rPr>
          <w:rFonts w:ascii="Times New Roman" w:eastAsiaTheme="minorEastAsia" w:hAnsiTheme="minorEastAsia" w:hint="eastAsia"/>
          <w:sz w:val="21"/>
          <w:szCs w:val="21"/>
          <w:lang w:val="en-US"/>
        </w:rPr>
        <w:t>本年</w:t>
      </w:r>
      <w:r w:rsidR="00CB0A29" w:rsidRPr="00EE30BC">
        <w:rPr>
          <w:rFonts w:ascii="Times New Roman" w:eastAsiaTheme="minorEastAsia" w:hAnsiTheme="minorEastAsia" w:hint="eastAsia"/>
          <w:sz w:val="21"/>
          <w:szCs w:val="21"/>
          <w:lang w:val="en-US"/>
        </w:rPr>
        <w:t>度经营收入</w:t>
      </w:r>
      <w:r w:rsidR="00EE30BC" w:rsidRPr="00EE30BC">
        <w:rPr>
          <w:rFonts w:ascii="Times New Roman" w:eastAsiaTheme="minorEastAsia" w:hAnsiTheme="minorEastAsia" w:hint="eastAsia"/>
          <w:sz w:val="21"/>
          <w:szCs w:val="21"/>
          <w:lang w:val="en-US"/>
        </w:rPr>
        <w:t>43,335,571.37</w:t>
      </w:r>
      <w:r w:rsidR="00451CCE" w:rsidRPr="00EE30BC">
        <w:rPr>
          <w:rFonts w:ascii="Times New Roman" w:eastAsiaTheme="minorEastAsia" w:hAnsiTheme="minorEastAsia" w:hint="eastAsia"/>
          <w:sz w:val="21"/>
          <w:szCs w:val="21"/>
          <w:lang w:val="en-US"/>
        </w:rPr>
        <w:t>元</w:t>
      </w:r>
      <w:r w:rsidR="00CB0A29" w:rsidRPr="00EE30BC">
        <w:rPr>
          <w:rFonts w:ascii="Times New Roman" w:eastAsiaTheme="minorEastAsia" w:hAnsiTheme="minorEastAsia" w:hint="eastAsia"/>
          <w:sz w:val="21"/>
          <w:szCs w:val="21"/>
          <w:lang w:val="en-US"/>
        </w:rPr>
        <w:t>，其中</w:t>
      </w:r>
      <w:r w:rsidR="00A55EC2" w:rsidRPr="00EE30BC">
        <w:rPr>
          <w:rFonts w:ascii="Times New Roman" w:eastAsiaTheme="minorEastAsia" w:hAnsiTheme="minorEastAsia" w:hint="eastAsia"/>
          <w:sz w:val="21"/>
          <w:szCs w:val="21"/>
          <w:lang w:val="en-US"/>
        </w:rPr>
        <w:t>利息</w:t>
      </w:r>
      <w:r w:rsidR="00CB0A29" w:rsidRPr="00EE30BC">
        <w:rPr>
          <w:rFonts w:ascii="Times New Roman" w:eastAsiaTheme="minorEastAsia" w:hAnsiTheme="minorEastAsia" w:hint="eastAsia"/>
          <w:sz w:val="21"/>
          <w:szCs w:val="21"/>
          <w:lang w:val="en-US"/>
        </w:rPr>
        <w:t>收入</w:t>
      </w:r>
      <w:r w:rsidR="00EE30BC" w:rsidRPr="00EE30BC">
        <w:rPr>
          <w:rFonts w:ascii="Times New Roman" w:eastAsiaTheme="minorEastAsia" w:hAnsiTheme="minorEastAsia" w:hint="eastAsia"/>
          <w:sz w:val="21"/>
          <w:szCs w:val="21"/>
          <w:lang w:val="en-US"/>
        </w:rPr>
        <w:t>39,145,746.85</w:t>
      </w:r>
      <w:r w:rsidR="00451CCE" w:rsidRPr="00EE30BC">
        <w:rPr>
          <w:rFonts w:ascii="Times New Roman" w:eastAsiaTheme="minorEastAsia" w:hAnsiTheme="minorEastAsia" w:hint="eastAsia"/>
          <w:sz w:val="21"/>
          <w:szCs w:val="21"/>
          <w:lang w:val="en-US"/>
        </w:rPr>
        <w:t>元，</w:t>
      </w:r>
      <w:r w:rsidR="00A55EC2" w:rsidRPr="00EE30BC">
        <w:rPr>
          <w:rFonts w:ascii="Times New Roman" w:eastAsiaTheme="minorEastAsia" w:hAnsiTheme="minorEastAsia" w:hint="eastAsia"/>
          <w:sz w:val="21"/>
          <w:szCs w:val="21"/>
          <w:lang w:val="en-US"/>
        </w:rPr>
        <w:t>红利</w:t>
      </w:r>
      <w:r w:rsidR="00CB0A29" w:rsidRPr="00EE30BC">
        <w:rPr>
          <w:rFonts w:ascii="Times New Roman" w:eastAsiaTheme="minorEastAsia" w:hAnsiTheme="minorEastAsia" w:hint="eastAsia"/>
          <w:sz w:val="21"/>
          <w:szCs w:val="21"/>
          <w:lang w:val="en-US"/>
        </w:rPr>
        <w:t>收入</w:t>
      </w:r>
      <w:r w:rsidR="00EE30BC" w:rsidRPr="00EE30BC">
        <w:rPr>
          <w:rFonts w:ascii="Times New Roman" w:eastAsiaTheme="minorEastAsia" w:hAnsiTheme="minorEastAsia"/>
          <w:sz w:val="21"/>
          <w:szCs w:val="21"/>
          <w:lang w:val="en-US"/>
        </w:rPr>
        <w:t>2</w:t>
      </w:r>
      <w:r w:rsidR="00EE30BC">
        <w:rPr>
          <w:rFonts w:ascii="Times New Roman" w:eastAsiaTheme="minorEastAsia" w:hAnsiTheme="minorEastAsia" w:hint="eastAsia"/>
          <w:sz w:val="21"/>
          <w:szCs w:val="21"/>
          <w:lang w:val="en-US"/>
        </w:rPr>
        <w:t>,</w:t>
      </w:r>
      <w:r w:rsidR="00EE30BC" w:rsidRPr="00EE30BC">
        <w:rPr>
          <w:rFonts w:ascii="Times New Roman" w:eastAsiaTheme="minorEastAsia" w:hAnsiTheme="minorEastAsia"/>
          <w:sz w:val="21"/>
          <w:szCs w:val="21"/>
          <w:lang w:val="en-US"/>
        </w:rPr>
        <w:t>929</w:t>
      </w:r>
      <w:r w:rsidR="00EE30BC">
        <w:rPr>
          <w:rFonts w:ascii="Times New Roman" w:eastAsiaTheme="minorEastAsia" w:hAnsiTheme="minorEastAsia" w:hint="eastAsia"/>
          <w:sz w:val="21"/>
          <w:szCs w:val="21"/>
          <w:lang w:val="en-US"/>
        </w:rPr>
        <w:t>,</w:t>
      </w:r>
      <w:r w:rsidR="00EE30BC" w:rsidRPr="00EE30BC">
        <w:rPr>
          <w:rFonts w:ascii="Times New Roman" w:eastAsiaTheme="minorEastAsia" w:hAnsiTheme="minorEastAsia"/>
          <w:sz w:val="21"/>
          <w:szCs w:val="21"/>
          <w:lang w:val="en-US"/>
        </w:rPr>
        <w:t>934.19</w:t>
      </w:r>
      <w:r w:rsidR="00451CCE" w:rsidRPr="00EE30BC">
        <w:rPr>
          <w:rFonts w:ascii="Times New Roman" w:eastAsiaTheme="minorEastAsia" w:hAnsiTheme="minorEastAsia" w:hint="eastAsia"/>
          <w:sz w:val="21"/>
          <w:szCs w:val="21"/>
          <w:lang w:val="en-US"/>
        </w:rPr>
        <w:t>元</w:t>
      </w:r>
      <w:r w:rsidR="00EE30BC">
        <w:rPr>
          <w:rFonts w:ascii="Times New Roman" w:eastAsiaTheme="minorEastAsia" w:hAnsiTheme="minorEastAsia" w:hint="eastAsia"/>
          <w:sz w:val="21"/>
          <w:szCs w:val="21"/>
          <w:lang w:val="en-US"/>
        </w:rPr>
        <w:t>，处置收入</w:t>
      </w:r>
      <w:r w:rsidR="00EE30BC" w:rsidRPr="00EE30BC">
        <w:rPr>
          <w:rFonts w:ascii="Times New Roman" w:eastAsiaTheme="minorEastAsia" w:hAnsiTheme="minorEastAsia"/>
          <w:sz w:val="21"/>
          <w:szCs w:val="21"/>
          <w:lang w:val="en-US"/>
        </w:rPr>
        <w:t>1</w:t>
      </w:r>
      <w:r w:rsidR="00EE30BC">
        <w:rPr>
          <w:rFonts w:ascii="Times New Roman" w:eastAsiaTheme="minorEastAsia" w:hAnsiTheme="minorEastAsia" w:hint="eastAsia"/>
          <w:sz w:val="21"/>
          <w:szCs w:val="21"/>
          <w:lang w:val="en-US"/>
        </w:rPr>
        <w:t>,</w:t>
      </w:r>
      <w:r w:rsidR="00EE30BC" w:rsidRPr="00EE30BC">
        <w:rPr>
          <w:rFonts w:ascii="Times New Roman" w:eastAsiaTheme="minorEastAsia" w:hAnsiTheme="minorEastAsia"/>
          <w:sz w:val="21"/>
          <w:szCs w:val="21"/>
          <w:lang w:val="en-US"/>
        </w:rPr>
        <w:t>259</w:t>
      </w:r>
      <w:r w:rsidR="00EE30BC">
        <w:rPr>
          <w:rFonts w:ascii="Times New Roman" w:eastAsiaTheme="minorEastAsia" w:hAnsiTheme="minorEastAsia" w:hint="eastAsia"/>
          <w:sz w:val="21"/>
          <w:szCs w:val="21"/>
          <w:lang w:val="en-US"/>
        </w:rPr>
        <w:t>,</w:t>
      </w:r>
      <w:r w:rsidR="00EE30BC" w:rsidRPr="00EE30BC">
        <w:rPr>
          <w:rFonts w:ascii="Times New Roman" w:eastAsiaTheme="minorEastAsia" w:hAnsiTheme="minorEastAsia"/>
          <w:sz w:val="21"/>
          <w:szCs w:val="21"/>
          <w:lang w:val="en-US"/>
        </w:rPr>
        <w:t>890.33</w:t>
      </w:r>
      <w:r w:rsidR="00331B5D">
        <w:rPr>
          <w:rFonts w:ascii="Times New Roman" w:eastAsiaTheme="minorEastAsia" w:hAnsiTheme="minorEastAsia" w:hint="eastAsia"/>
          <w:sz w:val="21"/>
          <w:szCs w:val="21"/>
          <w:lang w:val="en-US"/>
        </w:rPr>
        <w:t>元</w:t>
      </w:r>
      <w:r w:rsidR="00CB0A29" w:rsidRPr="00EE30BC">
        <w:rPr>
          <w:rFonts w:ascii="Times New Roman" w:eastAsiaTheme="minorEastAsia" w:hAnsiTheme="minorEastAsia" w:hint="eastAsia"/>
          <w:sz w:val="21"/>
          <w:szCs w:val="21"/>
          <w:lang w:val="en-US"/>
        </w:rPr>
        <w:t>。</w:t>
      </w:r>
      <w:r w:rsidR="001A4E70" w:rsidRPr="00EE30BC">
        <w:rPr>
          <w:rFonts w:ascii="Times New Roman" w:eastAsiaTheme="minorEastAsia" w:hAnsiTheme="minorEastAsia" w:hint="eastAsia"/>
          <w:sz w:val="21"/>
          <w:szCs w:val="21"/>
          <w:lang w:val="en-US"/>
        </w:rPr>
        <w:t>本年度</w:t>
      </w:r>
      <w:r w:rsidR="00F67C39" w:rsidRPr="00EE30BC">
        <w:rPr>
          <w:rFonts w:ascii="Times New Roman" w:eastAsiaTheme="minorEastAsia" w:hAnsiTheme="minorEastAsia" w:hint="eastAsia"/>
          <w:sz w:val="21"/>
          <w:szCs w:val="21"/>
          <w:lang w:val="en-US"/>
        </w:rPr>
        <w:t>经营支出</w:t>
      </w:r>
      <w:r w:rsidR="00FA7A35" w:rsidRPr="00FA7A35">
        <w:rPr>
          <w:rFonts w:ascii="Times New Roman" w:eastAsiaTheme="minorEastAsia" w:hAnsiTheme="minorEastAsia"/>
          <w:sz w:val="21"/>
          <w:szCs w:val="21"/>
          <w:lang w:val="en-US"/>
        </w:rPr>
        <w:t>6</w:t>
      </w:r>
      <w:r w:rsidR="00FA7A35">
        <w:rPr>
          <w:rFonts w:ascii="Times New Roman" w:eastAsiaTheme="minorEastAsia" w:hAnsiTheme="minorEastAsia" w:hint="eastAsia"/>
          <w:sz w:val="21"/>
          <w:szCs w:val="21"/>
          <w:lang w:val="en-US"/>
        </w:rPr>
        <w:t>,</w:t>
      </w:r>
      <w:r w:rsidR="00FA7A35" w:rsidRPr="00FA7A35">
        <w:rPr>
          <w:rFonts w:ascii="Times New Roman" w:eastAsiaTheme="minorEastAsia" w:hAnsiTheme="minorEastAsia"/>
          <w:sz w:val="21"/>
          <w:szCs w:val="21"/>
          <w:lang w:val="en-US"/>
        </w:rPr>
        <w:t>702</w:t>
      </w:r>
      <w:r w:rsidR="00FA7A35">
        <w:rPr>
          <w:rFonts w:ascii="Times New Roman" w:eastAsiaTheme="minorEastAsia" w:hAnsiTheme="minorEastAsia" w:hint="eastAsia"/>
          <w:sz w:val="21"/>
          <w:szCs w:val="21"/>
          <w:lang w:val="en-US"/>
        </w:rPr>
        <w:t>,</w:t>
      </w:r>
      <w:r w:rsidR="00FA7A35" w:rsidRPr="00FA7A35">
        <w:rPr>
          <w:rFonts w:ascii="Times New Roman" w:eastAsiaTheme="minorEastAsia" w:hAnsiTheme="minorEastAsia"/>
          <w:sz w:val="21"/>
          <w:szCs w:val="21"/>
          <w:lang w:val="en-US"/>
        </w:rPr>
        <w:t>660.06</w:t>
      </w:r>
      <w:r w:rsidR="00F67C39" w:rsidRPr="00EE30BC">
        <w:rPr>
          <w:rFonts w:ascii="Times New Roman" w:eastAsiaTheme="minorEastAsia" w:hAnsiTheme="minorEastAsia" w:hint="eastAsia"/>
          <w:sz w:val="21"/>
          <w:szCs w:val="21"/>
          <w:lang w:val="en-US"/>
        </w:rPr>
        <w:t>元，其中</w:t>
      </w:r>
      <w:r w:rsidRPr="00EE30BC">
        <w:rPr>
          <w:rFonts w:ascii="Times New Roman" w:eastAsiaTheme="minorEastAsia" w:hAnsiTheme="minorEastAsia" w:hint="eastAsia"/>
          <w:sz w:val="21"/>
          <w:szCs w:val="21"/>
          <w:lang w:val="en-US"/>
        </w:rPr>
        <w:t>账户资产管理费支出</w:t>
      </w:r>
      <w:r w:rsidR="00331B5D" w:rsidRPr="00331B5D">
        <w:rPr>
          <w:rFonts w:ascii="Times New Roman" w:eastAsiaTheme="minorEastAsia" w:hAnsiTheme="minorEastAsia"/>
          <w:sz w:val="21"/>
          <w:szCs w:val="21"/>
          <w:lang w:val="en-US"/>
        </w:rPr>
        <w:t>6</w:t>
      </w:r>
      <w:r w:rsidR="00331B5D">
        <w:rPr>
          <w:rFonts w:ascii="Times New Roman" w:eastAsiaTheme="minorEastAsia" w:hAnsiTheme="minorEastAsia" w:hint="eastAsia"/>
          <w:sz w:val="21"/>
          <w:szCs w:val="21"/>
          <w:lang w:val="en-US"/>
        </w:rPr>
        <w:t>,</w:t>
      </w:r>
      <w:r w:rsidR="00331B5D" w:rsidRPr="00331B5D">
        <w:rPr>
          <w:rFonts w:ascii="Times New Roman" w:eastAsiaTheme="minorEastAsia" w:hAnsiTheme="minorEastAsia"/>
          <w:sz w:val="21"/>
          <w:szCs w:val="21"/>
          <w:lang w:val="en-US"/>
        </w:rPr>
        <w:t>310</w:t>
      </w:r>
      <w:r w:rsidR="00331B5D">
        <w:rPr>
          <w:rFonts w:ascii="Times New Roman" w:eastAsiaTheme="minorEastAsia" w:hAnsiTheme="minorEastAsia" w:hint="eastAsia"/>
          <w:sz w:val="21"/>
          <w:szCs w:val="21"/>
          <w:lang w:val="en-US"/>
        </w:rPr>
        <w:t>,</w:t>
      </w:r>
      <w:r w:rsidR="00331B5D" w:rsidRPr="00331B5D">
        <w:rPr>
          <w:rFonts w:ascii="Times New Roman" w:eastAsiaTheme="minorEastAsia" w:hAnsiTheme="minorEastAsia"/>
          <w:sz w:val="21"/>
          <w:szCs w:val="21"/>
          <w:lang w:val="en-US"/>
        </w:rPr>
        <w:t>157.59</w:t>
      </w:r>
      <w:r w:rsidRPr="00EE30BC">
        <w:rPr>
          <w:rFonts w:ascii="Times New Roman" w:eastAsiaTheme="minorEastAsia" w:hAnsiTheme="minorEastAsia" w:hint="eastAsia"/>
          <w:sz w:val="21"/>
          <w:szCs w:val="21"/>
          <w:lang w:val="en-US"/>
        </w:rPr>
        <w:t>元，其他支出</w:t>
      </w:r>
      <w:r w:rsidR="00FA7A35" w:rsidRPr="00FA7A35">
        <w:rPr>
          <w:rFonts w:ascii="Times New Roman" w:eastAsiaTheme="minorEastAsia" w:hAnsiTheme="minorEastAsia"/>
          <w:sz w:val="21"/>
          <w:szCs w:val="21"/>
          <w:lang w:val="en-US"/>
        </w:rPr>
        <w:t>392</w:t>
      </w:r>
      <w:r w:rsidR="00FA7A35">
        <w:rPr>
          <w:rFonts w:ascii="Times New Roman" w:eastAsiaTheme="minorEastAsia" w:hAnsiTheme="minorEastAsia" w:hint="eastAsia"/>
          <w:sz w:val="21"/>
          <w:szCs w:val="21"/>
          <w:lang w:val="en-US"/>
        </w:rPr>
        <w:t>,</w:t>
      </w:r>
      <w:r w:rsidR="00FA7A35" w:rsidRPr="00FA7A35">
        <w:rPr>
          <w:rFonts w:ascii="Times New Roman" w:eastAsiaTheme="minorEastAsia" w:hAnsiTheme="minorEastAsia"/>
          <w:sz w:val="21"/>
          <w:szCs w:val="21"/>
          <w:lang w:val="en-US"/>
        </w:rPr>
        <w:t>502.47</w:t>
      </w:r>
      <w:r w:rsidRPr="00EE30BC">
        <w:rPr>
          <w:rFonts w:ascii="Times New Roman" w:eastAsiaTheme="minorEastAsia" w:hAnsiTheme="minorEastAsia" w:hint="eastAsia"/>
          <w:sz w:val="21"/>
          <w:szCs w:val="21"/>
          <w:lang w:val="en-US"/>
        </w:rPr>
        <w:t>元。</w:t>
      </w:r>
      <w:r w:rsidR="001A4E70" w:rsidRPr="00EE30BC">
        <w:rPr>
          <w:rFonts w:ascii="Times New Roman" w:eastAsiaTheme="minorEastAsia" w:hAnsiTheme="minorEastAsia" w:hint="eastAsia"/>
          <w:sz w:val="21"/>
          <w:szCs w:val="21"/>
          <w:lang w:val="en-US"/>
        </w:rPr>
        <w:t>本年度</w:t>
      </w:r>
      <w:r w:rsidR="00CB0A29" w:rsidRPr="00EE30BC">
        <w:rPr>
          <w:rFonts w:ascii="Times New Roman" w:eastAsiaTheme="minorEastAsia" w:hAnsiTheme="minorEastAsia"/>
          <w:sz w:val="21"/>
          <w:szCs w:val="21"/>
          <w:lang w:val="en-US"/>
        </w:rPr>
        <w:t>已实现净收益</w:t>
      </w:r>
      <w:r w:rsidR="00FA7A35" w:rsidRPr="00FA7A35">
        <w:rPr>
          <w:rFonts w:ascii="Times New Roman" w:eastAsiaTheme="minorEastAsia" w:hAnsiTheme="minorEastAsia"/>
          <w:sz w:val="21"/>
          <w:szCs w:val="21"/>
          <w:lang w:val="en-US"/>
        </w:rPr>
        <w:t>36</w:t>
      </w:r>
      <w:r w:rsidR="00BB5D73">
        <w:rPr>
          <w:rFonts w:ascii="Times New Roman" w:eastAsiaTheme="minorEastAsia" w:hAnsiTheme="minorEastAsia" w:hint="eastAsia"/>
          <w:sz w:val="21"/>
          <w:szCs w:val="21"/>
          <w:lang w:val="en-US"/>
        </w:rPr>
        <w:t>,</w:t>
      </w:r>
      <w:r w:rsidR="00FA7A35" w:rsidRPr="00FA7A35">
        <w:rPr>
          <w:rFonts w:ascii="Times New Roman" w:eastAsiaTheme="minorEastAsia" w:hAnsiTheme="minorEastAsia"/>
          <w:sz w:val="21"/>
          <w:szCs w:val="21"/>
          <w:lang w:val="en-US"/>
        </w:rPr>
        <w:t>632</w:t>
      </w:r>
      <w:r w:rsidR="00FA7A35">
        <w:rPr>
          <w:rFonts w:ascii="Times New Roman" w:eastAsiaTheme="minorEastAsia" w:hAnsiTheme="minorEastAsia" w:hint="eastAsia"/>
          <w:sz w:val="21"/>
          <w:szCs w:val="21"/>
          <w:lang w:val="en-US"/>
        </w:rPr>
        <w:t>,</w:t>
      </w:r>
      <w:r w:rsidR="00FA7A35" w:rsidRPr="00FA7A35">
        <w:rPr>
          <w:rFonts w:ascii="Times New Roman" w:eastAsiaTheme="minorEastAsia" w:hAnsiTheme="minorEastAsia"/>
          <w:sz w:val="21"/>
          <w:szCs w:val="21"/>
          <w:lang w:val="en-US"/>
        </w:rPr>
        <w:t>911.31</w:t>
      </w:r>
      <w:r w:rsidR="00CB0A29" w:rsidRPr="00EE30BC">
        <w:rPr>
          <w:rFonts w:ascii="Times New Roman" w:eastAsiaTheme="minorEastAsia" w:hAnsiTheme="minorEastAsia"/>
          <w:sz w:val="21"/>
          <w:szCs w:val="21"/>
          <w:lang w:val="en-US"/>
        </w:rPr>
        <w:t>元。</w:t>
      </w:r>
    </w:p>
    <w:p w:rsidR="00331B5D" w:rsidRPr="00331B5D" w:rsidRDefault="00331B5D" w:rsidP="00331B5D">
      <w:pPr>
        <w:spacing w:line="360" w:lineRule="auto"/>
        <w:ind w:firstLineChars="196" w:firstLine="412"/>
        <w:contextualSpacing/>
        <w:jc w:val="both"/>
        <w:rPr>
          <w:rFonts w:ascii="Times New Roman" w:eastAsiaTheme="minorEastAsia" w:hAnsiTheme="minorEastAsia"/>
          <w:sz w:val="21"/>
          <w:szCs w:val="21"/>
          <w:lang w:val="en-US"/>
        </w:rPr>
      </w:pPr>
    </w:p>
    <w:p w:rsidR="00331B5D" w:rsidRDefault="00CC5E23">
      <w:pPr>
        <w:spacing w:line="360" w:lineRule="auto"/>
        <w:ind w:firstLineChars="196" w:firstLine="413"/>
        <w:contextualSpacing/>
        <w:jc w:val="both"/>
        <w:rPr>
          <w:rFonts w:ascii="Times New Roman" w:eastAsiaTheme="minorEastAsia" w:hAnsiTheme="minorEastAsia"/>
          <w:sz w:val="21"/>
          <w:szCs w:val="21"/>
          <w:lang w:val="en-US"/>
        </w:rPr>
      </w:pPr>
      <w:r w:rsidRPr="00CC5E23">
        <w:rPr>
          <w:rFonts w:ascii="Times New Roman" w:eastAsiaTheme="minorEastAsia" w:hAnsiTheme="minorEastAsia" w:hint="eastAsia"/>
          <w:b/>
          <w:sz w:val="21"/>
          <w:szCs w:val="21"/>
          <w:lang w:val="en-US"/>
        </w:rPr>
        <w:t>四、资产管理费情况</w:t>
      </w:r>
    </w:p>
    <w:p w:rsidR="00BE5A57" w:rsidRDefault="00B639AD" w:rsidP="00E27DDD">
      <w:pPr>
        <w:spacing w:line="360" w:lineRule="auto"/>
        <w:ind w:firstLineChars="196" w:firstLine="412"/>
        <w:contextualSpacing/>
        <w:jc w:val="both"/>
        <w:rPr>
          <w:rFonts w:ascii="Times New Roman" w:eastAsiaTheme="minorEastAsia" w:hAnsiTheme="minorEastAsia"/>
          <w:sz w:val="21"/>
          <w:szCs w:val="21"/>
          <w:lang w:val="en-US"/>
        </w:rPr>
      </w:pPr>
      <w:r w:rsidRPr="00B639AD">
        <w:rPr>
          <w:rFonts w:ascii="Times New Roman" w:eastAsiaTheme="minorEastAsia" w:hAnsiTheme="minorEastAsia" w:hint="eastAsia"/>
          <w:sz w:val="21"/>
          <w:szCs w:val="21"/>
          <w:lang w:val="en-US"/>
        </w:rPr>
        <w:t>本公司根据保单条款在每个资产评估日按照投资账户资产净值的比例收取资产管理费，</w:t>
      </w:r>
      <w:r w:rsidR="00BE5A57" w:rsidRPr="00BE5A57">
        <w:rPr>
          <w:rFonts w:ascii="Times New Roman" w:eastAsiaTheme="minorEastAsia" w:hAnsiTheme="minorEastAsia" w:hint="eastAsia"/>
          <w:sz w:val="21"/>
          <w:szCs w:val="21"/>
          <w:lang w:val="en-US"/>
        </w:rPr>
        <w:t>在不违反相关的法律、法规、规则和规定的前提下，</w:t>
      </w:r>
      <w:r w:rsidR="00921903">
        <w:rPr>
          <w:rFonts w:ascii="Times New Roman" w:eastAsiaTheme="minorEastAsia" w:hAnsiTheme="minorEastAsia" w:hint="eastAsia"/>
          <w:sz w:val="21"/>
          <w:szCs w:val="21"/>
          <w:lang w:val="en-US"/>
        </w:rPr>
        <w:t>本</w:t>
      </w:r>
      <w:r w:rsidR="00BE5A57" w:rsidRPr="00BE5A57">
        <w:rPr>
          <w:rFonts w:ascii="Times New Roman" w:eastAsiaTheme="minorEastAsia" w:hAnsiTheme="minorEastAsia" w:hint="eastAsia"/>
          <w:sz w:val="21"/>
          <w:szCs w:val="21"/>
          <w:lang w:val="en-US"/>
        </w:rPr>
        <w:t>公司有权对资产管理费收取比例进行调整，但该比例最高不超过</w:t>
      </w:r>
      <w:r w:rsidR="00BE5A57" w:rsidRPr="00BE5A57">
        <w:rPr>
          <w:rFonts w:ascii="Times New Roman" w:eastAsiaTheme="minorEastAsia" w:hAnsiTheme="minorEastAsia"/>
          <w:sz w:val="21"/>
          <w:szCs w:val="21"/>
          <w:lang w:val="en-US"/>
        </w:rPr>
        <w:t>2%</w:t>
      </w:r>
      <w:r w:rsidR="00BE5A57" w:rsidRPr="00BE5A57">
        <w:rPr>
          <w:rFonts w:ascii="Times New Roman" w:eastAsiaTheme="minorEastAsia" w:hAnsiTheme="minorEastAsia" w:hint="eastAsia"/>
          <w:sz w:val="21"/>
          <w:szCs w:val="21"/>
          <w:lang w:val="en-US"/>
        </w:rPr>
        <w:t>。</w:t>
      </w:r>
    </w:p>
    <w:p w:rsidR="00CC5E23" w:rsidRPr="00E27DDD" w:rsidRDefault="00CC5E23" w:rsidP="00E27DDD">
      <w:pPr>
        <w:spacing w:line="360" w:lineRule="auto"/>
        <w:ind w:firstLineChars="196" w:firstLine="412"/>
        <w:contextualSpacing/>
        <w:jc w:val="both"/>
        <w:rPr>
          <w:rFonts w:ascii="Times New Roman" w:eastAsiaTheme="minorEastAsia" w:hAnsiTheme="minorEastAsia"/>
          <w:sz w:val="21"/>
          <w:szCs w:val="21"/>
          <w:lang w:val="en-US"/>
        </w:rPr>
      </w:pPr>
      <w:r w:rsidRPr="00CC5E23">
        <w:rPr>
          <w:rFonts w:ascii="Times New Roman" w:eastAsiaTheme="minorEastAsia" w:hAnsiTheme="minorEastAsia" w:hint="eastAsia"/>
          <w:sz w:val="21"/>
          <w:szCs w:val="21"/>
          <w:lang w:val="en-US"/>
        </w:rPr>
        <w:t>截至</w:t>
      </w:r>
      <w:r w:rsidRPr="00B639AD">
        <w:rPr>
          <w:rFonts w:ascii="Times New Roman" w:eastAsiaTheme="minorEastAsia" w:hAnsiTheme="minorEastAsia"/>
          <w:sz w:val="21"/>
          <w:szCs w:val="21"/>
          <w:lang w:val="en-US"/>
        </w:rPr>
        <w:t>201</w:t>
      </w:r>
      <w:r w:rsidR="00B639AD" w:rsidRPr="00B639AD">
        <w:rPr>
          <w:rFonts w:ascii="Times New Roman" w:eastAsiaTheme="minorEastAsia" w:hAnsiTheme="minorEastAsia" w:hint="eastAsia"/>
          <w:sz w:val="21"/>
          <w:szCs w:val="21"/>
          <w:lang w:val="en-US"/>
        </w:rPr>
        <w:t>6</w:t>
      </w:r>
      <w:r w:rsidRPr="00CC5E23">
        <w:rPr>
          <w:rFonts w:ascii="Times New Roman" w:eastAsiaTheme="minorEastAsia" w:hAnsiTheme="minorEastAsia" w:hint="eastAsia"/>
          <w:sz w:val="21"/>
          <w:szCs w:val="21"/>
          <w:lang w:val="en-US"/>
        </w:rPr>
        <w:t>年</w:t>
      </w:r>
      <w:r w:rsidR="00397343" w:rsidRPr="00B639AD">
        <w:rPr>
          <w:rFonts w:ascii="Times New Roman" w:eastAsiaTheme="minorEastAsia" w:hAnsiTheme="minorEastAsia" w:hint="eastAsia"/>
          <w:sz w:val="21"/>
          <w:szCs w:val="21"/>
          <w:lang w:val="en-US"/>
        </w:rPr>
        <w:t>6</w:t>
      </w:r>
      <w:r w:rsidRPr="00CC5E23">
        <w:rPr>
          <w:rFonts w:ascii="Times New Roman" w:eastAsiaTheme="minorEastAsia" w:hAnsiTheme="minorEastAsia" w:hint="eastAsia"/>
          <w:sz w:val="21"/>
          <w:szCs w:val="21"/>
          <w:lang w:val="en-US"/>
        </w:rPr>
        <w:t>月</w:t>
      </w:r>
      <w:r w:rsidR="0039159E" w:rsidRPr="00B639AD">
        <w:rPr>
          <w:rFonts w:ascii="Times New Roman" w:eastAsiaTheme="minorEastAsia" w:hAnsiTheme="minorEastAsia"/>
          <w:sz w:val="21"/>
          <w:szCs w:val="21"/>
          <w:lang w:val="en-US"/>
        </w:rPr>
        <w:t>3</w:t>
      </w:r>
      <w:r w:rsidR="00397343" w:rsidRPr="00B639AD">
        <w:rPr>
          <w:rFonts w:ascii="Times New Roman" w:eastAsiaTheme="minorEastAsia" w:hAnsiTheme="minorEastAsia" w:hint="eastAsia"/>
          <w:sz w:val="21"/>
          <w:szCs w:val="21"/>
          <w:lang w:val="en-US"/>
        </w:rPr>
        <w:t>0</w:t>
      </w:r>
      <w:r w:rsidRPr="00CC5E23">
        <w:rPr>
          <w:rFonts w:ascii="Times New Roman" w:eastAsiaTheme="minorEastAsia" w:hAnsiTheme="minorEastAsia" w:hint="eastAsia"/>
          <w:sz w:val="21"/>
          <w:szCs w:val="21"/>
          <w:lang w:val="en-US"/>
        </w:rPr>
        <w:t>日，</w:t>
      </w:r>
      <w:r w:rsidR="004A4B6B">
        <w:rPr>
          <w:rFonts w:ascii="Times New Roman" w:eastAsiaTheme="minorEastAsia" w:hAnsiTheme="minorEastAsia" w:hint="eastAsia"/>
          <w:sz w:val="21"/>
          <w:szCs w:val="21"/>
          <w:lang w:val="en-US"/>
        </w:rPr>
        <w:t>本</w:t>
      </w:r>
      <w:r w:rsidR="00CB0A29" w:rsidRPr="00C27D30">
        <w:rPr>
          <w:rFonts w:ascii="Times New Roman" w:eastAsiaTheme="minorEastAsia" w:hAnsiTheme="minorEastAsia"/>
          <w:sz w:val="21"/>
          <w:szCs w:val="21"/>
          <w:lang w:val="en-US"/>
        </w:rPr>
        <w:t>账户资产管理费</w:t>
      </w:r>
      <w:r w:rsidR="004F765A">
        <w:rPr>
          <w:rFonts w:ascii="Times New Roman" w:eastAsiaTheme="minorEastAsia" w:hAnsiTheme="minorEastAsia" w:hint="eastAsia"/>
          <w:sz w:val="21"/>
          <w:szCs w:val="21"/>
          <w:lang w:val="en-US"/>
        </w:rPr>
        <w:t>累计</w:t>
      </w:r>
      <w:r w:rsidR="00CB0A29" w:rsidRPr="00C27D30">
        <w:rPr>
          <w:rFonts w:ascii="Times New Roman" w:eastAsiaTheme="minorEastAsia" w:hAnsiTheme="minorEastAsia"/>
          <w:sz w:val="21"/>
          <w:szCs w:val="21"/>
          <w:lang w:val="en-US"/>
        </w:rPr>
        <w:t>为</w:t>
      </w:r>
      <w:r w:rsidR="000F4357">
        <w:rPr>
          <w:rFonts w:ascii="Times New Roman" w:eastAsiaTheme="minorEastAsia" w:hAnsiTheme="minorEastAsia" w:hint="eastAsia"/>
          <w:sz w:val="21"/>
          <w:szCs w:val="21"/>
          <w:lang w:val="en-US"/>
        </w:rPr>
        <w:t>7,564,894.64</w:t>
      </w:r>
      <w:r w:rsidR="00CB0A29" w:rsidRPr="00B639AD">
        <w:rPr>
          <w:rFonts w:ascii="Times New Roman" w:eastAsiaTheme="minorEastAsia" w:hAnsiTheme="minorEastAsia"/>
          <w:sz w:val="21"/>
          <w:szCs w:val="21"/>
          <w:lang w:val="en-US"/>
        </w:rPr>
        <w:t>元。</w:t>
      </w:r>
    </w:p>
    <w:p w:rsidR="00CC5E23" w:rsidRPr="00B639AD" w:rsidRDefault="00CC5E23" w:rsidP="005F681D">
      <w:pPr>
        <w:spacing w:line="360" w:lineRule="auto"/>
        <w:ind w:firstLineChars="200" w:firstLine="420"/>
        <w:contextualSpacing/>
        <w:rPr>
          <w:rFonts w:ascii="Times New Roman" w:eastAsiaTheme="minorEastAsia" w:hAnsi="Times New Roman"/>
          <w:sz w:val="21"/>
          <w:szCs w:val="21"/>
        </w:rPr>
      </w:pPr>
    </w:p>
    <w:p w:rsidR="00817A9F" w:rsidRDefault="00CC5E23" w:rsidP="00243AEF">
      <w:pPr>
        <w:spacing w:line="360" w:lineRule="auto"/>
        <w:ind w:firstLineChars="196" w:firstLine="413"/>
        <w:contextualSpacing/>
        <w:jc w:val="both"/>
        <w:rPr>
          <w:rFonts w:ascii="Times New Roman" w:eastAsiaTheme="minorEastAsia" w:hAnsiTheme="minorEastAsia"/>
          <w:b/>
          <w:sz w:val="21"/>
          <w:szCs w:val="21"/>
          <w:lang w:val="en-US"/>
        </w:rPr>
      </w:pPr>
      <w:r w:rsidRPr="00AF5525">
        <w:rPr>
          <w:rFonts w:ascii="Times New Roman" w:eastAsiaTheme="minorEastAsia" w:hAnsiTheme="minorEastAsia" w:hint="eastAsia"/>
          <w:b/>
          <w:sz w:val="21"/>
          <w:szCs w:val="21"/>
          <w:lang w:val="en-US"/>
        </w:rPr>
        <w:t>五、投资组合</w:t>
      </w:r>
    </w:p>
    <w:p w:rsidR="0079203A" w:rsidRPr="005E058B" w:rsidRDefault="00817A9F" w:rsidP="005E058B">
      <w:pPr>
        <w:spacing w:line="360" w:lineRule="auto"/>
        <w:ind w:firstLineChars="196" w:firstLine="412"/>
        <w:contextualSpacing/>
        <w:jc w:val="both"/>
        <w:rPr>
          <w:rFonts w:ascii="Times New Roman" w:eastAsiaTheme="minorEastAsia" w:hAnsiTheme="minorEastAsia"/>
          <w:sz w:val="21"/>
          <w:szCs w:val="21"/>
          <w:lang w:val="en-US"/>
        </w:rPr>
      </w:pPr>
      <w:r w:rsidRPr="00CC5E23">
        <w:rPr>
          <w:rFonts w:ascii="Times New Roman" w:eastAsiaTheme="minorEastAsia" w:hAnsiTheme="minorEastAsia" w:hint="eastAsia"/>
          <w:sz w:val="21"/>
          <w:szCs w:val="21"/>
          <w:lang w:val="en-US"/>
        </w:rPr>
        <w:t>截至</w:t>
      </w:r>
      <w:r w:rsidRPr="005E058B">
        <w:rPr>
          <w:rFonts w:ascii="Times New Roman" w:eastAsiaTheme="minorEastAsia" w:hAnsiTheme="minorEastAsia"/>
          <w:sz w:val="21"/>
          <w:szCs w:val="21"/>
          <w:lang w:val="en-US"/>
        </w:rPr>
        <w:t>201</w:t>
      </w:r>
      <w:r w:rsidR="005E058B" w:rsidRPr="005E058B">
        <w:rPr>
          <w:rFonts w:ascii="Times New Roman" w:eastAsiaTheme="minorEastAsia" w:hAnsiTheme="minorEastAsia" w:hint="eastAsia"/>
          <w:sz w:val="21"/>
          <w:szCs w:val="21"/>
          <w:lang w:val="en-US"/>
        </w:rPr>
        <w:t>6</w:t>
      </w:r>
      <w:r w:rsidRPr="00CC5E23">
        <w:rPr>
          <w:rFonts w:ascii="Times New Roman" w:eastAsiaTheme="minorEastAsia" w:hAnsiTheme="minorEastAsia" w:hint="eastAsia"/>
          <w:sz w:val="21"/>
          <w:szCs w:val="21"/>
          <w:lang w:val="en-US"/>
        </w:rPr>
        <w:t>年</w:t>
      </w:r>
      <w:r w:rsidRPr="005E058B">
        <w:rPr>
          <w:rFonts w:ascii="Times New Roman" w:eastAsiaTheme="minorEastAsia" w:hAnsiTheme="minorEastAsia" w:hint="eastAsia"/>
          <w:sz w:val="21"/>
          <w:szCs w:val="21"/>
          <w:lang w:val="en-US"/>
        </w:rPr>
        <w:t>6</w:t>
      </w:r>
      <w:r w:rsidRPr="00CC5E23">
        <w:rPr>
          <w:rFonts w:ascii="Times New Roman" w:eastAsiaTheme="minorEastAsia" w:hAnsiTheme="minorEastAsia" w:hint="eastAsia"/>
          <w:sz w:val="21"/>
          <w:szCs w:val="21"/>
          <w:lang w:val="en-US"/>
        </w:rPr>
        <w:t>月</w:t>
      </w:r>
      <w:r w:rsidRPr="005E058B">
        <w:rPr>
          <w:rFonts w:ascii="Times New Roman" w:eastAsiaTheme="minorEastAsia" w:hAnsiTheme="minorEastAsia" w:hint="eastAsia"/>
          <w:sz w:val="21"/>
          <w:szCs w:val="21"/>
          <w:lang w:val="en-US"/>
        </w:rPr>
        <w:t>30</w:t>
      </w:r>
      <w:r w:rsidRPr="00CC5E23">
        <w:rPr>
          <w:rFonts w:ascii="Times New Roman" w:eastAsiaTheme="minorEastAsia" w:hAnsiTheme="minorEastAsia" w:hint="eastAsia"/>
          <w:sz w:val="21"/>
          <w:szCs w:val="21"/>
          <w:lang w:val="en-US"/>
        </w:rPr>
        <w:t>日，本账户资产配置情况如下：</w:t>
      </w:r>
      <w:r>
        <w:rPr>
          <w:rFonts w:ascii="Times New Roman" w:eastAsiaTheme="minorEastAsia" w:hAnsiTheme="minorEastAsia" w:hint="eastAsia"/>
          <w:sz w:val="21"/>
          <w:szCs w:val="21"/>
          <w:lang w:val="en-US"/>
        </w:rPr>
        <w:t>流动性资产</w:t>
      </w:r>
      <w:r w:rsidR="000F4357">
        <w:rPr>
          <w:rFonts w:ascii="Times New Roman" w:eastAsiaTheme="minorEastAsia" w:hAnsiTheme="minorEastAsia" w:hint="eastAsia"/>
          <w:sz w:val="21"/>
          <w:szCs w:val="21"/>
          <w:lang w:val="en-US"/>
        </w:rPr>
        <w:t>448,535,881.43</w:t>
      </w:r>
      <w:r w:rsidRPr="005E058B">
        <w:rPr>
          <w:rFonts w:ascii="Times New Roman" w:eastAsiaTheme="minorEastAsia" w:hAnsiTheme="minorEastAsia" w:hint="eastAsia"/>
          <w:sz w:val="21"/>
          <w:szCs w:val="21"/>
          <w:lang w:val="en-US"/>
        </w:rPr>
        <w:t>元</w:t>
      </w:r>
      <w:r w:rsidRPr="00CC5E23">
        <w:rPr>
          <w:rFonts w:ascii="Times New Roman" w:eastAsiaTheme="minorEastAsia" w:hAnsiTheme="minorEastAsia" w:hint="eastAsia"/>
          <w:sz w:val="21"/>
          <w:szCs w:val="21"/>
          <w:lang w:val="en-US"/>
        </w:rPr>
        <w:t>，</w:t>
      </w:r>
      <w:r>
        <w:rPr>
          <w:rFonts w:ascii="Times New Roman" w:eastAsiaTheme="minorEastAsia" w:hAnsiTheme="minorEastAsia" w:hint="eastAsia"/>
          <w:sz w:val="21"/>
          <w:szCs w:val="21"/>
          <w:lang w:val="en-US"/>
        </w:rPr>
        <w:t>固定收益类资产</w:t>
      </w:r>
      <w:r w:rsidR="000F4357">
        <w:rPr>
          <w:rFonts w:ascii="Times New Roman" w:eastAsiaTheme="minorEastAsia" w:hAnsiTheme="minorEastAsia" w:hint="eastAsia"/>
          <w:sz w:val="21"/>
          <w:szCs w:val="21"/>
          <w:lang w:val="en-US"/>
        </w:rPr>
        <w:t>1,194,100,000.00</w:t>
      </w:r>
      <w:r w:rsidRPr="00CC5E23">
        <w:rPr>
          <w:rFonts w:ascii="Times New Roman" w:eastAsiaTheme="minorEastAsia" w:hAnsiTheme="minorEastAsia" w:hint="eastAsia"/>
          <w:sz w:val="21"/>
          <w:szCs w:val="21"/>
          <w:lang w:val="en-US"/>
        </w:rPr>
        <w:t>元。</w:t>
      </w:r>
    </w:p>
    <w:p w:rsidR="00817A9F" w:rsidRPr="005E058B" w:rsidRDefault="00817A9F" w:rsidP="00817A9F">
      <w:pPr>
        <w:spacing w:line="360" w:lineRule="auto"/>
        <w:ind w:firstLineChars="196" w:firstLine="412"/>
        <w:contextualSpacing/>
        <w:jc w:val="both"/>
        <w:rPr>
          <w:rFonts w:ascii="Times New Roman" w:eastAsiaTheme="minorEastAsia" w:hAnsi="Times New Roman"/>
          <w:sz w:val="21"/>
          <w:szCs w:val="21"/>
          <w:lang w:val="en-US"/>
        </w:rPr>
      </w:pPr>
    </w:p>
    <w:p w:rsidR="00CC5E23" w:rsidRPr="00CC5E23" w:rsidRDefault="00CC5E23" w:rsidP="00CC5E23">
      <w:pPr>
        <w:spacing w:line="360" w:lineRule="auto"/>
        <w:ind w:rightChars="54" w:right="119" w:firstLineChars="196" w:firstLine="413"/>
        <w:jc w:val="both"/>
        <w:rPr>
          <w:rFonts w:ascii="Times New Roman" w:eastAsiaTheme="minorEastAsia" w:hAnsi="Times New Roman"/>
          <w:b/>
          <w:sz w:val="21"/>
          <w:szCs w:val="21"/>
          <w:lang w:val="en-US"/>
        </w:rPr>
      </w:pPr>
      <w:r w:rsidRPr="00CC5E23">
        <w:rPr>
          <w:rFonts w:ascii="Times New Roman" w:eastAsiaTheme="minorEastAsia" w:hAnsiTheme="minorEastAsia" w:hint="eastAsia"/>
          <w:b/>
          <w:sz w:val="21"/>
          <w:szCs w:val="21"/>
          <w:lang w:val="en-US"/>
        </w:rPr>
        <w:t>六、估值原则</w:t>
      </w:r>
    </w:p>
    <w:p w:rsidR="00BD1481" w:rsidRPr="00C27D30" w:rsidRDefault="00BD1481" w:rsidP="00BD1481">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独立账户的下列资产应于合同约定的计价日（以下称</w:t>
      </w:r>
      <w:r w:rsidR="00284709">
        <w:rPr>
          <w:rFonts w:ascii="Times New Roman" w:eastAsiaTheme="minorEastAsia" w:hAnsi="Times New Roman" w:hint="eastAsia"/>
          <w:sz w:val="21"/>
          <w:szCs w:val="21"/>
          <w:lang w:val="en-US"/>
        </w:rPr>
        <w:t>“</w:t>
      </w:r>
      <w:r w:rsidRPr="00C27D30">
        <w:rPr>
          <w:rFonts w:ascii="Times New Roman" w:eastAsiaTheme="minorEastAsia" w:hAnsiTheme="minorEastAsia"/>
          <w:sz w:val="21"/>
          <w:szCs w:val="21"/>
          <w:lang w:val="en-US"/>
        </w:rPr>
        <w:t>估值日</w:t>
      </w:r>
      <w:r w:rsidR="00284709">
        <w:rPr>
          <w:rFonts w:ascii="Times New Roman" w:eastAsiaTheme="minorEastAsia" w:hAnsi="Times New Roman" w:hint="eastAsia"/>
          <w:sz w:val="21"/>
          <w:szCs w:val="21"/>
          <w:lang w:val="en-US"/>
        </w:rPr>
        <w:t>”</w:t>
      </w:r>
      <w:r w:rsidRPr="00C27D30">
        <w:rPr>
          <w:rFonts w:ascii="Times New Roman" w:eastAsiaTheme="minorEastAsia" w:hAnsiTheme="minorEastAsia"/>
          <w:sz w:val="21"/>
          <w:szCs w:val="21"/>
          <w:lang w:val="en-US"/>
        </w:rPr>
        <w:t>），按如下原则进行估值：</w:t>
      </w:r>
    </w:p>
    <w:p w:rsidR="00BD1481" w:rsidRPr="00C27D30" w:rsidRDefault="00BD1481" w:rsidP="00BD1481">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（一）流动性资产、固定收益类资产、上市权益类资产</w:t>
      </w:r>
    </w:p>
    <w:p w:rsidR="00BD1481" w:rsidRPr="00C27D30" w:rsidRDefault="00BD1481" w:rsidP="00BD1481">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下列资产应于合同约定的计价日（以下称</w:t>
      </w:r>
      <w:r w:rsidR="002F77C8">
        <w:rPr>
          <w:rFonts w:ascii="Times New Roman" w:eastAsiaTheme="minorEastAsia" w:hAnsi="Times New Roman" w:hint="eastAsia"/>
          <w:sz w:val="21"/>
          <w:szCs w:val="21"/>
          <w:lang w:val="en-US"/>
        </w:rPr>
        <w:t>“</w:t>
      </w:r>
      <w:r w:rsidRPr="00C27D30">
        <w:rPr>
          <w:rFonts w:ascii="Times New Roman" w:eastAsiaTheme="minorEastAsia" w:hAnsiTheme="minorEastAsia"/>
          <w:sz w:val="21"/>
          <w:szCs w:val="21"/>
          <w:lang w:val="en-US"/>
        </w:rPr>
        <w:t>估值日</w:t>
      </w:r>
      <w:r w:rsidR="002F77C8">
        <w:rPr>
          <w:rFonts w:ascii="Times New Roman" w:eastAsiaTheme="minorEastAsia" w:hAnsi="Times New Roman" w:hint="eastAsia"/>
          <w:sz w:val="21"/>
          <w:szCs w:val="21"/>
          <w:lang w:val="en-US"/>
        </w:rPr>
        <w:t>”</w:t>
      </w:r>
      <w:r w:rsidRPr="00C27D30">
        <w:rPr>
          <w:rFonts w:ascii="Times New Roman" w:eastAsiaTheme="minorEastAsia" w:hAnsiTheme="minorEastAsia"/>
          <w:sz w:val="21"/>
          <w:szCs w:val="21"/>
          <w:lang w:val="en-US"/>
        </w:rPr>
        <w:t>），按如下原则进行估值：</w:t>
      </w:r>
    </w:p>
    <w:p w:rsidR="00BD1481" w:rsidRPr="00C27D30" w:rsidRDefault="00BD1481" w:rsidP="00BD1481">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imes New Roman"/>
          <w:sz w:val="21"/>
          <w:szCs w:val="21"/>
          <w:lang w:val="en-US"/>
        </w:rPr>
        <w:t>1.</w:t>
      </w:r>
      <w:r w:rsidRPr="00C27D30">
        <w:rPr>
          <w:rFonts w:ascii="Times New Roman" w:eastAsiaTheme="minorEastAsia" w:hAnsiTheme="minorEastAsia"/>
          <w:sz w:val="21"/>
          <w:szCs w:val="21"/>
          <w:lang w:val="en-US"/>
        </w:rPr>
        <w:t>上市流通的有价证券，以其在证券交易所挂牌的市价（平均价或收盘价，下同）估值；估值日无交易的，以最近交易日的市价估值；</w:t>
      </w:r>
    </w:p>
    <w:p w:rsidR="00BD1481" w:rsidRPr="00C27D30" w:rsidRDefault="00BD1481" w:rsidP="00BD1481">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imes New Roman"/>
          <w:sz w:val="21"/>
          <w:szCs w:val="21"/>
          <w:lang w:val="en-US"/>
        </w:rPr>
        <w:t>2.</w:t>
      </w:r>
      <w:r w:rsidRPr="00C27D30">
        <w:rPr>
          <w:rFonts w:ascii="Times New Roman" w:eastAsiaTheme="minorEastAsia" w:hAnsiTheme="minorEastAsia"/>
          <w:sz w:val="21"/>
          <w:szCs w:val="21"/>
          <w:lang w:val="en-US"/>
        </w:rPr>
        <w:t>开放式基金，以其公告的基金单位净值估值；处于募集期内的证券投资基金，按其成本估值；</w:t>
      </w:r>
    </w:p>
    <w:p w:rsidR="00BD1481" w:rsidRPr="00C27D30" w:rsidRDefault="00BD1481" w:rsidP="00BD1481">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imes New Roman"/>
          <w:sz w:val="21"/>
          <w:szCs w:val="21"/>
          <w:lang w:val="en-US"/>
        </w:rPr>
        <w:t>3.</w:t>
      </w:r>
      <w:r w:rsidRPr="00C27D30">
        <w:rPr>
          <w:rFonts w:ascii="Times New Roman" w:eastAsiaTheme="minorEastAsia" w:hAnsiTheme="minorEastAsia"/>
          <w:sz w:val="21"/>
          <w:szCs w:val="21"/>
          <w:lang w:val="en-US"/>
        </w:rPr>
        <w:t>如有确凿证据表明按上述方法进行估值不能客观反映其公允价值的，公司应根据具体情况按最能反映公允价值的价格估值。</w:t>
      </w:r>
    </w:p>
    <w:p w:rsidR="00BD1481" w:rsidRPr="00C27D30" w:rsidRDefault="00BD1481" w:rsidP="00BD1481">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lastRenderedPageBreak/>
        <w:t>流动性资产、固定收益类资产、上市权益类资产的分类和定义遵照中国保监会资金运用相关监管规定。</w:t>
      </w:r>
    </w:p>
    <w:p w:rsidR="00BD1481" w:rsidRPr="00C27D30" w:rsidRDefault="00BD1481" w:rsidP="00BD1481">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（二）基础设施投资计划、不动产相关金融产品、其他金融资产</w:t>
      </w:r>
    </w:p>
    <w:p w:rsidR="00BD1481" w:rsidRPr="00C27D30" w:rsidRDefault="00BD1481" w:rsidP="00BD1481">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由于以上资产不存在公开交易市场，采用账面价值估值，即按照资产的初始投资成本确认账面价值。利息在持有期内于估值日按合同约定的预定收益率计提，对于已到付息日但尚未领取的利息，按照应收利息扣除已计提利息收入的差额，在付息日确认投资收益。</w:t>
      </w:r>
    </w:p>
    <w:p w:rsidR="00BD1481" w:rsidRPr="00C27D30" w:rsidRDefault="00BD1481" w:rsidP="00BD1481">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基础设施投资计划、不动产相关金融产品、其他金融资产的分类和定义遵照中国保监会资金运用的相关监管规定。</w:t>
      </w:r>
    </w:p>
    <w:p w:rsidR="00BD1481" w:rsidRPr="00C27D30" w:rsidRDefault="00BD1481" w:rsidP="00BD1481">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（三）定向增发股票</w:t>
      </w:r>
    </w:p>
    <w:p w:rsidR="003B4F75" w:rsidRDefault="00BD1481" w:rsidP="0057770E">
      <w:pPr>
        <w:pStyle w:val="ae"/>
        <w:spacing w:line="360" w:lineRule="auto"/>
        <w:ind w:rightChars="54" w:right="119"/>
        <w:jc w:val="both"/>
        <w:rPr>
          <w:rFonts w:ascii="Times New Roman" w:eastAsiaTheme="minorEastAsia" w:hAnsiTheme="minorEastAsia"/>
          <w:sz w:val="21"/>
          <w:szCs w:val="21"/>
          <w:lang w:val="en-US"/>
        </w:rPr>
      </w:pPr>
      <w:r w:rsidRPr="00C27D30">
        <w:rPr>
          <w:rFonts w:ascii="Times New Roman" w:eastAsiaTheme="minorEastAsia" w:hAnsiTheme="minorEastAsia"/>
          <w:sz w:val="21"/>
          <w:szCs w:val="21"/>
          <w:lang w:val="en-US"/>
        </w:rPr>
        <w:t>定向增发股票的估值方法如下：有公开市场的定向增发股票，在估值日当天，如公开市场的公允价值低于定向增发的初始取得成本，按公允价值估值。如公允价值高于定向增发的初始取得成本，估值价值为：初始成本价＋（公允价值－初始成本价）</w:t>
      </w:r>
      <w:r w:rsidRPr="00C27D30">
        <w:rPr>
          <w:rFonts w:ascii="Times New Roman" w:eastAsiaTheme="minorEastAsia" w:hAnsi="Times New Roman"/>
          <w:sz w:val="21"/>
          <w:szCs w:val="21"/>
          <w:lang w:val="en-US"/>
        </w:rPr>
        <w:t>×</w:t>
      </w:r>
      <w:r w:rsidRPr="00C27D30">
        <w:rPr>
          <w:rFonts w:ascii="Times New Roman" w:eastAsiaTheme="minorEastAsia" w:hAnsiTheme="minorEastAsia"/>
          <w:sz w:val="21"/>
          <w:szCs w:val="21"/>
          <w:lang w:val="en-US"/>
        </w:rPr>
        <w:t>起始锁定日到估值日的期间占总锁定期的比例。无公开市场的定向增发，在估值日按账面价值估值。</w:t>
      </w:r>
    </w:p>
    <w:p w:rsidR="00717050" w:rsidRPr="00BD1481" w:rsidRDefault="00717050" w:rsidP="0057770E">
      <w:pPr>
        <w:pStyle w:val="ae"/>
        <w:spacing w:line="360" w:lineRule="auto"/>
        <w:ind w:rightChars="54" w:right="119"/>
        <w:jc w:val="both"/>
        <w:rPr>
          <w:rFonts w:ascii="Times New Roman" w:eastAsiaTheme="minorEastAsia" w:hAnsi="Times New Roman"/>
          <w:sz w:val="21"/>
          <w:szCs w:val="21"/>
          <w:lang w:val="en-US"/>
        </w:rPr>
      </w:pPr>
    </w:p>
    <w:p w:rsidR="00CC5E23" w:rsidRPr="00CC5E23" w:rsidRDefault="007D56A1" w:rsidP="005F681D">
      <w:pPr>
        <w:pStyle w:val="ae"/>
        <w:spacing w:line="360" w:lineRule="auto"/>
        <w:ind w:leftChars="181" w:left="820" w:firstLineChars="0" w:hanging="422"/>
        <w:jc w:val="both"/>
        <w:rPr>
          <w:rFonts w:ascii="Times New Roman" w:eastAsiaTheme="minorEastAsia" w:hAnsi="Times New Roman"/>
          <w:b/>
          <w:sz w:val="21"/>
          <w:szCs w:val="21"/>
          <w:lang w:val="en-US"/>
        </w:rPr>
      </w:pPr>
      <w:r>
        <w:rPr>
          <w:rFonts w:ascii="Times New Roman" w:eastAsiaTheme="minorEastAsia" w:hAnsiTheme="minorEastAsia" w:hint="eastAsia"/>
          <w:b/>
          <w:sz w:val="21"/>
          <w:szCs w:val="21"/>
          <w:lang w:val="en-US"/>
        </w:rPr>
        <w:t>七</w:t>
      </w:r>
      <w:r w:rsidR="00CC5E23" w:rsidRPr="00CC5E23">
        <w:rPr>
          <w:rFonts w:ascii="Times New Roman" w:eastAsiaTheme="minorEastAsia" w:hAnsiTheme="minorEastAsia" w:hint="eastAsia"/>
          <w:b/>
          <w:sz w:val="21"/>
          <w:szCs w:val="21"/>
          <w:lang w:val="en-US"/>
        </w:rPr>
        <w:t>、托管银行变更</w:t>
      </w:r>
    </w:p>
    <w:p w:rsidR="00765285" w:rsidRPr="00944FE4" w:rsidRDefault="00C25CDB" w:rsidP="00944FE4">
      <w:pPr>
        <w:pStyle w:val="ae"/>
        <w:spacing w:line="360" w:lineRule="auto"/>
        <w:ind w:leftChars="165" w:left="363" w:right="200" w:firstLineChars="0" w:firstLine="0"/>
        <w:rPr>
          <w:rFonts w:ascii="Times New Roman" w:eastAsiaTheme="minorEastAsia" w:hAnsiTheme="minorEastAsia"/>
          <w:sz w:val="21"/>
          <w:szCs w:val="21"/>
          <w:lang w:val="en-US"/>
        </w:rPr>
      </w:pPr>
      <w:r>
        <w:rPr>
          <w:rFonts w:ascii="Times New Roman" w:eastAsiaTheme="minorEastAsia" w:hAnsiTheme="minorEastAsia" w:hint="eastAsia"/>
          <w:sz w:val="21"/>
          <w:szCs w:val="21"/>
          <w:lang w:val="en-US"/>
        </w:rPr>
        <w:t>本账户由中国</w:t>
      </w:r>
      <w:r w:rsidR="0026503F">
        <w:rPr>
          <w:rFonts w:ascii="Times New Roman" w:eastAsiaTheme="minorEastAsia" w:hAnsiTheme="minorEastAsia" w:hint="eastAsia"/>
          <w:sz w:val="21"/>
          <w:szCs w:val="21"/>
          <w:lang w:val="en-US"/>
        </w:rPr>
        <w:t>农业</w:t>
      </w:r>
      <w:r w:rsidR="00CC5E23" w:rsidRPr="00CC5E23">
        <w:rPr>
          <w:rFonts w:ascii="Times New Roman" w:eastAsiaTheme="minorEastAsia" w:hAnsiTheme="minorEastAsia" w:hint="eastAsia"/>
          <w:sz w:val="21"/>
          <w:szCs w:val="21"/>
          <w:lang w:val="en-US"/>
        </w:rPr>
        <w:t>银行托管，截至</w:t>
      </w:r>
      <w:r w:rsidR="00CC5E23" w:rsidRPr="00CC5E23">
        <w:rPr>
          <w:rFonts w:ascii="Times New Roman" w:eastAsiaTheme="minorEastAsia" w:hAnsi="Times New Roman"/>
          <w:sz w:val="21"/>
          <w:szCs w:val="21"/>
          <w:lang w:val="en-US"/>
        </w:rPr>
        <w:t>201</w:t>
      </w:r>
      <w:r w:rsidR="005E058B">
        <w:rPr>
          <w:rFonts w:ascii="Times New Roman" w:eastAsiaTheme="minorEastAsia" w:hAnsi="Times New Roman" w:hint="eastAsia"/>
          <w:sz w:val="21"/>
          <w:szCs w:val="21"/>
          <w:lang w:val="en-US"/>
        </w:rPr>
        <w:t>6</w:t>
      </w:r>
      <w:r w:rsidR="00CC5E23" w:rsidRPr="00CC5E23">
        <w:rPr>
          <w:rFonts w:ascii="Times New Roman" w:eastAsiaTheme="minorEastAsia" w:hAnsiTheme="minorEastAsia" w:hint="eastAsia"/>
          <w:sz w:val="21"/>
          <w:szCs w:val="21"/>
          <w:lang w:val="en-US"/>
        </w:rPr>
        <w:t>年</w:t>
      </w:r>
      <w:r w:rsidR="00476FD4">
        <w:rPr>
          <w:rFonts w:ascii="Times New Roman" w:eastAsiaTheme="minorEastAsia" w:hAnsi="Times New Roman" w:hint="eastAsia"/>
          <w:sz w:val="21"/>
          <w:szCs w:val="21"/>
          <w:lang w:val="en-US"/>
        </w:rPr>
        <w:t>6</w:t>
      </w:r>
      <w:r w:rsidR="00CC5E23" w:rsidRPr="00CC5E23">
        <w:rPr>
          <w:rFonts w:ascii="Times New Roman" w:eastAsiaTheme="minorEastAsia" w:hAnsiTheme="minorEastAsia" w:hint="eastAsia"/>
          <w:sz w:val="21"/>
          <w:szCs w:val="21"/>
          <w:lang w:val="en-US"/>
        </w:rPr>
        <w:t>月</w:t>
      </w:r>
      <w:r w:rsidR="00C77A32">
        <w:rPr>
          <w:rFonts w:ascii="Times New Roman" w:eastAsiaTheme="minorEastAsia" w:hAnsi="Times New Roman"/>
          <w:sz w:val="21"/>
          <w:szCs w:val="21"/>
          <w:lang w:val="en-US"/>
        </w:rPr>
        <w:t>3</w:t>
      </w:r>
      <w:r w:rsidR="00476FD4">
        <w:rPr>
          <w:rFonts w:ascii="Times New Roman" w:eastAsiaTheme="minorEastAsia" w:hAnsi="Times New Roman" w:hint="eastAsia"/>
          <w:sz w:val="21"/>
          <w:szCs w:val="21"/>
          <w:lang w:val="en-US"/>
        </w:rPr>
        <w:t>0</w:t>
      </w:r>
      <w:r w:rsidR="00CC5E23" w:rsidRPr="00CC5E23">
        <w:rPr>
          <w:rFonts w:ascii="Times New Roman" w:eastAsiaTheme="minorEastAsia" w:hAnsiTheme="minorEastAsia" w:hint="eastAsia"/>
          <w:sz w:val="21"/>
          <w:szCs w:val="21"/>
          <w:lang w:val="en-US"/>
        </w:rPr>
        <w:t>日，托管银行未发生变更。</w:t>
      </w:r>
    </w:p>
    <w:p w:rsidR="00DD739D" w:rsidRDefault="00CC5E23">
      <w:pPr>
        <w:pStyle w:val="ae"/>
        <w:spacing w:line="360" w:lineRule="auto"/>
        <w:ind w:leftChars="165" w:left="363" w:right="200" w:firstLineChars="0" w:firstLine="0"/>
        <w:jc w:val="right"/>
        <w:rPr>
          <w:rFonts w:ascii="Times New Roman" w:eastAsiaTheme="minorEastAsia" w:hAnsiTheme="minorEastAsia"/>
          <w:sz w:val="21"/>
          <w:szCs w:val="21"/>
          <w:lang w:val="en-US"/>
        </w:rPr>
      </w:pPr>
      <w:r w:rsidRPr="00CC5E23">
        <w:rPr>
          <w:rFonts w:ascii="Times New Roman" w:eastAsiaTheme="minorEastAsia" w:hAnsiTheme="minorEastAsia" w:hint="eastAsia"/>
          <w:sz w:val="21"/>
          <w:szCs w:val="21"/>
          <w:lang w:val="en-US"/>
        </w:rPr>
        <w:t>国华人寿保险股份有限公司</w:t>
      </w:r>
    </w:p>
    <w:p w:rsidR="00B303B3" w:rsidRDefault="009E7565">
      <w:pPr>
        <w:pStyle w:val="ae"/>
        <w:spacing w:line="360" w:lineRule="auto"/>
        <w:ind w:leftChars="165" w:left="363" w:right="200" w:firstLineChars="0" w:firstLine="0"/>
        <w:jc w:val="right"/>
        <w:rPr>
          <w:rFonts w:ascii="Times New Roman" w:eastAsiaTheme="minorEastAsia" w:hAnsi="Times New Roman"/>
          <w:sz w:val="20"/>
          <w:szCs w:val="20"/>
          <w:lang w:val="en-US"/>
        </w:rPr>
      </w:pPr>
      <w:r>
        <w:rPr>
          <w:rFonts w:ascii="Times New Roman" w:eastAsiaTheme="minorEastAsia" w:hAnsiTheme="minorEastAsia" w:hint="eastAsia"/>
          <w:sz w:val="21"/>
          <w:szCs w:val="21"/>
          <w:lang w:val="en-US"/>
        </w:rPr>
        <w:t>201</w:t>
      </w:r>
      <w:r w:rsidR="005E058B">
        <w:rPr>
          <w:rFonts w:ascii="Times New Roman" w:eastAsiaTheme="minorEastAsia" w:hAnsiTheme="minorEastAsia" w:hint="eastAsia"/>
          <w:sz w:val="21"/>
          <w:szCs w:val="21"/>
          <w:lang w:val="en-US"/>
        </w:rPr>
        <w:t>6</w:t>
      </w:r>
      <w:r w:rsidR="00732C74">
        <w:rPr>
          <w:rFonts w:ascii="Times New Roman" w:eastAsiaTheme="minorEastAsia" w:hAnsiTheme="minorEastAsia" w:hint="eastAsia"/>
          <w:sz w:val="21"/>
          <w:szCs w:val="21"/>
          <w:lang w:val="en-US"/>
        </w:rPr>
        <w:t>年</w:t>
      </w:r>
      <w:r w:rsidR="00A47CA1">
        <w:rPr>
          <w:rFonts w:ascii="Times New Roman" w:eastAsiaTheme="minorEastAsia" w:hAnsiTheme="minorEastAsia" w:hint="eastAsia"/>
          <w:sz w:val="21"/>
          <w:szCs w:val="21"/>
          <w:lang w:val="en-US"/>
        </w:rPr>
        <w:t>8</w:t>
      </w:r>
      <w:r w:rsidR="00732C74">
        <w:rPr>
          <w:rFonts w:ascii="Times New Roman" w:eastAsiaTheme="minorEastAsia" w:hAnsiTheme="minorEastAsia" w:hint="eastAsia"/>
          <w:sz w:val="21"/>
          <w:szCs w:val="21"/>
          <w:lang w:val="en-US"/>
        </w:rPr>
        <w:t>月</w:t>
      </w:r>
      <w:r w:rsidR="0040442E">
        <w:rPr>
          <w:rFonts w:ascii="Times New Roman" w:eastAsiaTheme="minorEastAsia" w:hAnsiTheme="minorEastAsia" w:hint="eastAsia"/>
          <w:sz w:val="21"/>
          <w:szCs w:val="21"/>
          <w:lang w:val="en-US"/>
        </w:rPr>
        <w:t>22</w:t>
      </w:r>
      <w:r w:rsidR="00732C74">
        <w:rPr>
          <w:rFonts w:ascii="Times New Roman" w:eastAsiaTheme="minorEastAsia" w:hAnsiTheme="minorEastAsia" w:hint="eastAsia"/>
          <w:sz w:val="21"/>
          <w:szCs w:val="21"/>
          <w:lang w:val="en-US"/>
        </w:rPr>
        <w:t>日</w:t>
      </w:r>
    </w:p>
    <w:sectPr w:rsidR="00B303B3" w:rsidSect="00532157">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0AC" w:rsidRDefault="003800AC" w:rsidP="00011B89">
      <w:r>
        <w:separator/>
      </w:r>
    </w:p>
  </w:endnote>
  <w:endnote w:type="continuationSeparator" w:id="1">
    <w:p w:rsidR="003800AC" w:rsidRDefault="003800AC" w:rsidP="00011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08672"/>
      <w:docPartObj>
        <w:docPartGallery w:val="Page Numbers (Bottom of Page)"/>
        <w:docPartUnique/>
      </w:docPartObj>
    </w:sdtPr>
    <w:sdtEndPr>
      <w:rPr>
        <w:rFonts w:ascii="Times New Roman" w:hAnsi="Times New Roman"/>
      </w:rPr>
    </w:sdtEndPr>
    <w:sdtContent>
      <w:p w:rsidR="009C62B9" w:rsidRDefault="00087277">
        <w:pPr>
          <w:pStyle w:val="ad"/>
          <w:jc w:val="center"/>
        </w:pPr>
        <w:r w:rsidRPr="00CC5E23">
          <w:rPr>
            <w:rFonts w:ascii="Times New Roman" w:hAnsi="Times New Roman"/>
          </w:rPr>
          <w:fldChar w:fldCharType="begin"/>
        </w:r>
        <w:r w:rsidR="00CC5E23" w:rsidRPr="00CC5E23">
          <w:rPr>
            <w:rFonts w:ascii="Times New Roman" w:hAnsi="Times New Roman"/>
          </w:rPr>
          <w:instrText xml:space="preserve"> PAGE   \* MERGEFORMAT </w:instrText>
        </w:r>
        <w:r w:rsidRPr="00CC5E23">
          <w:rPr>
            <w:rFonts w:ascii="Times New Roman" w:hAnsi="Times New Roman"/>
          </w:rPr>
          <w:fldChar w:fldCharType="separate"/>
        </w:r>
        <w:r w:rsidR="00921903" w:rsidRPr="00921903">
          <w:rPr>
            <w:rFonts w:ascii="Times New Roman" w:hAnsi="Times New Roman"/>
            <w:noProof/>
            <w:lang w:val="zh-CN"/>
          </w:rPr>
          <w:t>6</w:t>
        </w:r>
        <w:r w:rsidRPr="00CC5E23">
          <w:rPr>
            <w:rFonts w:ascii="Times New Roman" w:hAnsi="Times New Roman"/>
          </w:rPr>
          <w:fldChar w:fldCharType="end"/>
        </w:r>
      </w:p>
    </w:sdtContent>
  </w:sdt>
  <w:p w:rsidR="009C62B9" w:rsidRDefault="009C62B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0AC" w:rsidRDefault="003800AC" w:rsidP="00011B89">
      <w:r>
        <w:separator/>
      </w:r>
    </w:p>
  </w:footnote>
  <w:footnote w:type="continuationSeparator" w:id="1">
    <w:p w:rsidR="003800AC" w:rsidRDefault="003800AC" w:rsidP="00011B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BA1"/>
    <w:multiLevelType w:val="hybridMultilevel"/>
    <w:tmpl w:val="402C4CD8"/>
    <w:lvl w:ilvl="0" w:tplc="20A82052">
      <w:start w:val="1"/>
      <w:numFmt w:val="decimal"/>
      <w:lvlText w:val="（%1）"/>
      <w:lvlJc w:val="left"/>
      <w:pPr>
        <w:ind w:left="720" w:hanging="720"/>
      </w:pPr>
      <w:rPr>
        <w:rFonts w:asci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D1651B"/>
    <w:multiLevelType w:val="hybridMultilevel"/>
    <w:tmpl w:val="94E45A68"/>
    <w:lvl w:ilvl="0" w:tplc="7E667D4E">
      <w:start w:val="1"/>
      <w:numFmt w:val="japaneseCounting"/>
      <w:lvlText w:val="%1、"/>
      <w:lvlJc w:val="left"/>
      <w:pPr>
        <w:ind w:left="825" w:hanging="4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nsid w:val="41424C63"/>
    <w:multiLevelType w:val="hybridMultilevel"/>
    <w:tmpl w:val="DF24F57C"/>
    <w:lvl w:ilvl="0" w:tplc="E9FE35A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922533A"/>
    <w:multiLevelType w:val="hybridMultilevel"/>
    <w:tmpl w:val="C65EB284"/>
    <w:lvl w:ilvl="0" w:tplc="F84616F2">
      <w:start w:val="2"/>
      <w:numFmt w:val="japaneseCounting"/>
      <w:lvlText w:val="%1、"/>
      <w:lvlJc w:val="left"/>
      <w:pPr>
        <w:ind w:left="1140" w:hanging="720"/>
      </w:pPr>
      <w:rPr>
        <w:rFonts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7DA1E83"/>
    <w:multiLevelType w:val="hybridMultilevel"/>
    <w:tmpl w:val="3F726DEE"/>
    <w:lvl w:ilvl="0" w:tplc="0F8E046E">
      <w:start w:val="1"/>
      <w:numFmt w:val="japaneseCounting"/>
      <w:lvlText w:val="%1、"/>
      <w:lvlJc w:val="left"/>
      <w:pPr>
        <w:ind w:left="863" w:hanging="450"/>
      </w:pPr>
      <w:rPr>
        <w:rFonts w:hAnsiTheme="minorEastAsia"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5">
    <w:nsid w:val="5A5F3113"/>
    <w:multiLevelType w:val="hybridMultilevel"/>
    <w:tmpl w:val="9AE6E09E"/>
    <w:lvl w:ilvl="0" w:tplc="4204E05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3C0A8E"/>
    <w:multiLevelType w:val="hybridMultilevel"/>
    <w:tmpl w:val="B3380540"/>
    <w:lvl w:ilvl="0" w:tplc="5E068E6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F514BF3"/>
    <w:multiLevelType w:val="hybridMultilevel"/>
    <w:tmpl w:val="76D6795C"/>
    <w:lvl w:ilvl="0" w:tplc="43185BF0">
      <w:start w:val="1"/>
      <w:numFmt w:val="japaneseCounting"/>
      <w:lvlText w:val="第%1条"/>
      <w:lvlJc w:val="left"/>
      <w:pPr>
        <w:ind w:left="885" w:hanging="885"/>
      </w:pPr>
      <w:rPr>
        <w:rFonts w:hint="default"/>
        <w:b/>
        <w:lang w:val="en-US"/>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7F5E0439"/>
    <w:multiLevelType w:val="hybridMultilevel"/>
    <w:tmpl w:val="49DC00A0"/>
    <w:lvl w:ilvl="0" w:tplc="DE26F76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3"/>
  </w:num>
  <w:num w:numId="4">
    <w:abstractNumId w:val="8"/>
  </w:num>
  <w:num w:numId="5">
    <w:abstractNumId w:val="1"/>
  </w:num>
  <w:num w:numId="6">
    <w:abstractNumId w:val="6"/>
  </w:num>
  <w:num w:numId="7">
    <w:abstractNumId w:val="2"/>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46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1B89"/>
    <w:rsid w:val="00000BD6"/>
    <w:rsid w:val="00011B89"/>
    <w:rsid w:val="00025704"/>
    <w:rsid w:val="000332D3"/>
    <w:rsid w:val="000364EE"/>
    <w:rsid w:val="0004138A"/>
    <w:rsid w:val="000415DD"/>
    <w:rsid w:val="00043417"/>
    <w:rsid w:val="00044A70"/>
    <w:rsid w:val="00050660"/>
    <w:rsid w:val="00061BA0"/>
    <w:rsid w:val="00066FC7"/>
    <w:rsid w:val="00080027"/>
    <w:rsid w:val="00080AEA"/>
    <w:rsid w:val="00080F1B"/>
    <w:rsid w:val="00087277"/>
    <w:rsid w:val="00087631"/>
    <w:rsid w:val="00094C6F"/>
    <w:rsid w:val="000A22C1"/>
    <w:rsid w:val="000A6ECD"/>
    <w:rsid w:val="000B01B0"/>
    <w:rsid w:val="000B0704"/>
    <w:rsid w:val="000B3723"/>
    <w:rsid w:val="000B588D"/>
    <w:rsid w:val="000C199F"/>
    <w:rsid w:val="000C465D"/>
    <w:rsid w:val="000C475C"/>
    <w:rsid w:val="000C5501"/>
    <w:rsid w:val="000D0021"/>
    <w:rsid w:val="000D1E2F"/>
    <w:rsid w:val="000D2BF4"/>
    <w:rsid w:val="000D5D60"/>
    <w:rsid w:val="000E18F0"/>
    <w:rsid w:val="000E2424"/>
    <w:rsid w:val="000E3070"/>
    <w:rsid w:val="000E4491"/>
    <w:rsid w:val="000E6389"/>
    <w:rsid w:val="000F1EF8"/>
    <w:rsid w:val="000F4357"/>
    <w:rsid w:val="00104526"/>
    <w:rsid w:val="00120979"/>
    <w:rsid w:val="00134527"/>
    <w:rsid w:val="001345E0"/>
    <w:rsid w:val="00141142"/>
    <w:rsid w:val="00150B9F"/>
    <w:rsid w:val="00166291"/>
    <w:rsid w:val="00192354"/>
    <w:rsid w:val="00193A4D"/>
    <w:rsid w:val="001955F8"/>
    <w:rsid w:val="00197ADC"/>
    <w:rsid w:val="001A3BDE"/>
    <w:rsid w:val="001A4E70"/>
    <w:rsid w:val="001B3160"/>
    <w:rsid w:val="001B5C32"/>
    <w:rsid w:val="001C4C44"/>
    <w:rsid w:val="001C5AD7"/>
    <w:rsid w:val="001D6BC2"/>
    <w:rsid w:val="001E168A"/>
    <w:rsid w:val="001E2522"/>
    <w:rsid w:val="001F0A72"/>
    <w:rsid w:val="001F4774"/>
    <w:rsid w:val="00201A45"/>
    <w:rsid w:val="00202BBB"/>
    <w:rsid w:val="00204AF3"/>
    <w:rsid w:val="00206FCB"/>
    <w:rsid w:val="00211754"/>
    <w:rsid w:val="00234108"/>
    <w:rsid w:val="00243AEF"/>
    <w:rsid w:val="00244C1E"/>
    <w:rsid w:val="00245C48"/>
    <w:rsid w:val="0025060C"/>
    <w:rsid w:val="00256CEA"/>
    <w:rsid w:val="00257888"/>
    <w:rsid w:val="0026503F"/>
    <w:rsid w:val="00265A06"/>
    <w:rsid w:val="002669A3"/>
    <w:rsid w:val="0028122C"/>
    <w:rsid w:val="002818C2"/>
    <w:rsid w:val="00284709"/>
    <w:rsid w:val="00290828"/>
    <w:rsid w:val="00292486"/>
    <w:rsid w:val="002959D1"/>
    <w:rsid w:val="002A495C"/>
    <w:rsid w:val="002B6D67"/>
    <w:rsid w:val="002C767B"/>
    <w:rsid w:val="002D0FC9"/>
    <w:rsid w:val="002D78DF"/>
    <w:rsid w:val="002E693B"/>
    <w:rsid w:val="002F17DF"/>
    <w:rsid w:val="002F77C8"/>
    <w:rsid w:val="003076EC"/>
    <w:rsid w:val="00310294"/>
    <w:rsid w:val="00311715"/>
    <w:rsid w:val="00315156"/>
    <w:rsid w:val="00321E3D"/>
    <w:rsid w:val="00331B5D"/>
    <w:rsid w:val="00334D69"/>
    <w:rsid w:val="00334F16"/>
    <w:rsid w:val="00351F19"/>
    <w:rsid w:val="003554A0"/>
    <w:rsid w:val="003800AC"/>
    <w:rsid w:val="00385092"/>
    <w:rsid w:val="0039159E"/>
    <w:rsid w:val="00395251"/>
    <w:rsid w:val="00397343"/>
    <w:rsid w:val="003A0E2E"/>
    <w:rsid w:val="003B4903"/>
    <w:rsid w:val="003B4F75"/>
    <w:rsid w:val="003D06CB"/>
    <w:rsid w:val="003D36DF"/>
    <w:rsid w:val="003E73BD"/>
    <w:rsid w:val="00403584"/>
    <w:rsid w:val="00403B38"/>
    <w:rsid w:val="0040442E"/>
    <w:rsid w:val="004072E0"/>
    <w:rsid w:val="00413B6B"/>
    <w:rsid w:val="00424E6F"/>
    <w:rsid w:val="00436699"/>
    <w:rsid w:val="00436FCF"/>
    <w:rsid w:val="00451CCE"/>
    <w:rsid w:val="00463D03"/>
    <w:rsid w:val="00465788"/>
    <w:rsid w:val="00473649"/>
    <w:rsid w:val="00476FD4"/>
    <w:rsid w:val="00485035"/>
    <w:rsid w:val="00487EEA"/>
    <w:rsid w:val="004A4B6B"/>
    <w:rsid w:val="004B223A"/>
    <w:rsid w:val="004B4E7E"/>
    <w:rsid w:val="004C65DC"/>
    <w:rsid w:val="004C7FB7"/>
    <w:rsid w:val="004E090E"/>
    <w:rsid w:val="004E2444"/>
    <w:rsid w:val="004E4A68"/>
    <w:rsid w:val="004E573E"/>
    <w:rsid w:val="004F765A"/>
    <w:rsid w:val="00502F68"/>
    <w:rsid w:val="00516A3F"/>
    <w:rsid w:val="00523317"/>
    <w:rsid w:val="00532157"/>
    <w:rsid w:val="005362DE"/>
    <w:rsid w:val="00544C62"/>
    <w:rsid w:val="00550981"/>
    <w:rsid w:val="00567C9E"/>
    <w:rsid w:val="00574C1E"/>
    <w:rsid w:val="0057770E"/>
    <w:rsid w:val="00581096"/>
    <w:rsid w:val="005832EA"/>
    <w:rsid w:val="00585563"/>
    <w:rsid w:val="0059154D"/>
    <w:rsid w:val="0059613D"/>
    <w:rsid w:val="00596401"/>
    <w:rsid w:val="005A1886"/>
    <w:rsid w:val="005A65AD"/>
    <w:rsid w:val="005A755D"/>
    <w:rsid w:val="005B5F8B"/>
    <w:rsid w:val="005E058B"/>
    <w:rsid w:val="005E27CF"/>
    <w:rsid w:val="005E4A25"/>
    <w:rsid w:val="005F15EC"/>
    <w:rsid w:val="005F681D"/>
    <w:rsid w:val="00612B98"/>
    <w:rsid w:val="006168BA"/>
    <w:rsid w:val="0061706E"/>
    <w:rsid w:val="006222BE"/>
    <w:rsid w:val="00630533"/>
    <w:rsid w:val="006316DF"/>
    <w:rsid w:val="006326AD"/>
    <w:rsid w:val="00635DE5"/>
    <w:rsid w:val="00640545"/>
    <w:rsid w:val="00645923"/>
    <w:rsid w:val="00647FA8"/>
    <w:rsid w:val="00650691"/>
    <w:rsid w:val="006573C8"/>
    <w:rsid w:val="006611BF"/>
    <w:rsid w:val="00663AD5"/>
    <w:rsid w:val="00667A6B"/>
    <w:rsid w:val="00677F8B"/>
    <w:rsid w:val="00680335"/>
    <w:rsid w:val="006917A4"/>
    <w:rsid w:val="006927EA"/>
    <w:rsid w:val="00693721"/>
    <w:rsid w:val="00696F22"/>
    <w:rsid w:val="006A171B"/>
    <w:rsid w:val="006A2B7E"/>
    <w:rsid w:val="006E09AA"/>
    <w:rsid w:val="00700F98"/>
    <w:rsid w:val="00702281"/>
    <w:rsid w:val="007119A5"/>
    <w:rsid w:val="00712D38"/>
    <w:rsid w:val="00717050"/>
    <w:rsid w:val="007211C1"/>
    <w:rsid w:val="007214D6"/>
    <w:rsid w:val="00721938"/>
    <w:rsid w:val="0072630E"/>
    <w:rsid w:val="00730149"/>
    <w:rsid w:val="00732685"/>
    <w:rsid w:val="00732C74"/>
    <w:rsid w:val="007376E3"/>
    <w:rsid w:val="007511D3"/>
    <w:rsid w:val="00753384"/>
    <w:rsid w:val="007577D9"/>
    <w:rsid w:val="00762BE1"/>
    <w:rsid w:val="00765285"/>
    <w:rsid w:val="007655D7"/>
    <w:rsid w:val="00773CFA"/>
    <w:rsid w:val="007740EC"/>
    <w:rsid w:val="007809B0"/>
    <w:rsid w:val="0079203A"/>
    <w:rsid w:val="00795C9E"/>
    <w:rsid w:val="007A63AC"/>
    <w:rsid w:val="007A7FFC"/>
    <w:rsid w:val="007B11F0"/>
    <w:rsid w:val="007D0A2C"/>
    <w:rsid w:val="007D56A1"/>
    <w:rsid w:val="007E517E"/>
    <w:rsid w:val="007E6F7C"/>
    <w:rsid w:val="007F3080"/>
    <w:rsid w:val="007F4BF0"/>
    <w:rsid w:val="0080372A"/>
    <w:rsid w:val="00805CA0"/>
    <w:rsid w:val="00810CB7"/>
    <w:rsid w:val="008121EB"/>
    <w:rsid w:val="00813914"/>
    <w:rsid w:val="00814F1B"/>
    <w:rsid w:val="008158CE"/>
    <w:rsid w:val="00817A9F"/>
    <w:rsid w:val="00832C1E"/>
    <w:rsid w:val="00832FFB"/>
    <w:rsid w:val="00845F74"/>
    <w:rsid w:val="00846419"/>
    <w:rsid w:val="00852C81"/>
    <w:rsid w:val="00861D1B"/>
    <w:rsid w:val="00865FB0"/>
    <w:rsid w:val="00874961"/>
    <w:rsid w:val="008838BF"/>
    <w:rsid w:val="00891EC5"/>
    <w:rsid w:val="00892F5F"/>
    <w:rsid w:val="00893CBC"/>
    <w:rsid w:val="008A48B1"/>
    <w:rsid w:val="008B5762"/>
    <w:rsid w:val="008C7A80"/>
    <w:rsid w:val="008D04F8"/>
    <w:rsid w:val="008D2B85"/>
    <w:rsid w:val="008E495A"/>
    <w:rsid w:val="008E587C"/>
    <w:rsid w:val="008E6890"/>
    <w:rsid w:val="008F26FC"/>
    <w:rsid w:val="009144B4"/>
    <w:rsid w:val="0091629F"/>
    <w:rsid w:val="00921903"/>
    <w:rsid w:val="00933ECF"/>
    <w:rsid w:val="009359B5"/>
    <w:rsid w:val="00937FE2"/>
    <w:rsid w:val="009443A6"/>
    <w:rsid w:val="00944FE4"/>
    <w:rsid w:val="009477BD"/>
    <w:rsid w:val="00951AF5"/>
    <w:rsid w:val="00953C74"/>
    <w:rsid w:val="009547FB"/>
    <w:rsid w:val="009555BD"/>
    <w:rsid w:val="00960C05"/>
    <w:rsid w:val="00975271"/>
    <w:rsid w:val="0098304A"/>
    <w:rsid w:val="009906B9"/>
    <w:rsid w:val="00992BEF"/>
    <w:rsid w:val="009A1464"/>
    <w:rsid w:val="009B1EDA"/>
    <w:rsid w:val="009B362C"/>
    <w:rsid w:val="009B5BF8"/>
    <w:rsid w:val="009C62B9"/>
    <w:rsid w:val="009E0EC6"/>
    <w:rsid w:val="009E7565"/>
    <w:rsid w:val="009F4D4B"/>
    <w:rsid w:val="009F6EE4"/>
    <w:rsid w:val="009F7406"/>
    <w:rsid w:val="00A03E0B"/>
    <w:rsid w:val="00A06784"/>
    <w:rsid w:val="00A1205D"/>
    <w:rsid w:val="00A143B4"/>
    <w:rsid w:val="00A15358"/>
    <w:rsid w:val="00A17555"/>
    <w:rsid w:val="00A47CA1"/>
    <w:rsid w:val="00A52652"/>
    <w:rsid w:val="00A5314E"/>
    <w:rsid w:val="00A55EC2"/>
    <w:rsid w:val="00A6233D"/>
    <w:rsid w:val="00A63D9E"/>
    <w:rsid w:val="00A718F5"/>
    <w:rsid w:val="00A77E7E"/>
    <w:rsid w:val="00A87B7F"/>
    <w:rsid w:val="00A9690D"/>
    <w:rsid w:val="00AA7B6E"/>
    <w:rsid w:val="00AB1DB2"/>
    <w:rsid w:val="00AC4D4B"/>
    <w:rsid w:val="00AC77F4"/>
    <w:rsid w:val="00AD1DD5"/>
    <w:rsid w:val="00AD742B"/>
    <w:rsid w:val="00AE2C0D"/>
    <w:rsid w:val="00AF0AA1"/>
    <w:rsid w:val="00AF34DB"/>
    <w:rsid w:val="00AF546A"/>
    <w:rsid w:val="00AF5525"/>
    <w:rsid w:val="00B033E8"/>
    <w:rsid w:val="00B0557A"/>
    <w:rsid w:val="00B121E5"/>
    <w:rsid w:val="00B16570"/>
    <w:rsid w:val="00B21A13"/>
    <w:rsid w:val="00B249DC"/>
    <w:rsid w:val="00B303B3"/>
    <w:rsid w:val="00B32BF5"/>
    <w:rsid w:val="00B638ED"/>
    <w:rsid w:val="00B639AD"/>
    <w:rsid w:val="00B73459"/>
    <w:rsid w:val="00B76202"/>
    <w:rsid w:val="00B771EA"/>
    <w:rsid w:val="00B8414F"/>
    <w:rsid w:val="00B9568F"/>
    <w:rsid w:val="00BA2060"/>
    <w:rsid w:val="00BA3245"/>
    <w:rsid w:val="00BB1AFA"/>
    <w:rsid w:val="00BB400A"/>
    <w:rsid w:val="00BB5D73"/>
    <w:rsid w:val="00BD0AAD"/>
    <w:rsid w:val="00BD1481"/>
    <w:rsid w:val="00BD4E6D"/>
    <w:rsid w:val="00BD7336"/>
    <w:rsid w:val="00BE5A57"/>
    <w:rsid w:val="00BF0CF3"/>
    <w:rsid w:val="00BF34AF"/>
    <w:rsid w:val="00BF7071"/>
    <w:rsid w:val="00C023C9"/>
    <w:rsid w:val="00C04A63"/>
    <w:rsid w:val="00C1196E"/>
    <w:rsid w:val="00C157AD"/>
    <w:rsid w:val="00C2090F"/>
    <w:rsid w:val="00C24782"/>
    <w:rsid w:val="00C25AE1"/>
    <w:rsid w:val="00C25CDB"/>
    <w:rsid w:val="00C3022D"/>
    <w:rsid w:val="00C30483"/>
    <w:rsid w:val="00C309B0"/>
    <w:rsid w:val="00C630B7"/>
    <w:rsid w:val="00C77A32"/>
    <w:rsid w:val="00C81584"/>
    <w:rsid w:val="00C817D1"/>
    <w:rsid w:val="00C94950"/>
    <w:rsid w:val="00C94A62"/>
    <w:rsid w:val="00C958B6"/>
    <w:rsid w:val="00CA5639"/>
    <w:rsid w:val="00CB0179"/>
    <w:rsid w:val="00CB0A29"/>
    <w:rsid w:val="00CB40FE"/>
    <w:rsid w:val="00CB6C72"/>
    <w:rsid w:val="00CC32A6"/>
    <w:rsid w:val="00CC5E23"/>
    <w:rsid w:val="00CD07F5"/>
    <w:rsid w:val="00CD3965"/>
    <w:rsid w:val="00CD456D"/>
    <w:rsid w:val="00CD48BA"/>
    <w:rsid w:val="00CE438C"/>
    <w:rsid w:val="00CF5FFC"/>
    <w:rsid w:val="00CF6BFC"/>
    <w:rsid w:val="00D1268B"/>
    <w:rsid w:val="00D27C07"/>
    <w:rsid w:val="00D4351A"/>
    <w:rsid w:val="00D7082A"/>
    <w:rsid w:val="00D827DF"/>
    <w:rsid w:val="00D87786"/>
    <w:rsid w:val="00DB302F"/>
    <w:rsid w:val="00DB58A6"/>
    <w:rsid w:val="00DC3C5C"/>
    <w:rsid w:val="00DD739D"/>
    <w:rsid w:val="00DD7AFB"/>
    <w:rsid w:val="00DE0C02"/>
    <w:rsid w:val="00DE23A6"/>
    <w:rsid w:val="00DF0F23"/>
    <w:rsid w:val="00DF5DB4"/>
    <w:rsid w:val="00E07774"/>
    <w:rsid w:val="00E14B51"/>
    <w:rsid w:val="00E24666"/>
    <w:rsid w:val="00E24C88"/>
    <w:rsid w:val="00E257A0"/>
    <w:rsid w:val="00E257AA"/>
    <w:rsid w:val="00E27DDD"/>
    <w:rsid w:val="00E30B1D"/>
    <w:rsid w:val="00E30EB4"/>
    <w:rsid w:val="00E344C2"/>
    <w:rsid w:val="00E357AF"/>
    <w:rsid w:val="00E363FB"/>
    <w:rsid w:val="00E41D19"/>
    <w:rsid w:val="00E71649"/>
    <w:rsid w:val="00E812CA"/>
    <w:rsid w:val="00E857C7"/>
    <w:rsid w:val="00E90CB6"/>
    <w:rsid w:val="00E91F9B"/>
    <w:rsid w:val="00E93F76"/>
    <w:rsid w:val="00EE30BC"/>
    <w:rsid w:val="00EF6311"/>
    <w:rsid w:val="00F00D4F"/>
    <w:rsid w:val="00F02345"/>
    <w:rsid w:val="00F04A63"/>
    <w:rsid w:val="00F077DC"/>
    <w:rsid w:val="00F14012"/>
    <w:rsid w:val="00F154AC"/>
    <w:rsid w:val="00F3348D"/>
    <w:rsid w:val="00F3357A"/>
    <w:rsid w:val="00F521C7"/>
    <w:rsid w:val="00F54C7C"/>
    <w:rsid w:val="00F60DAA"/>
    <w:rsid w:val="00F60FE6"/>
    <w:rsid w:val="00F62C66"/>
    <w:rsid w:val="00F648C5"/>
    <w:rsid w:val="00F67C39"/>
    <w:rsid w:val="00F717E3"/>
    <w:rsid w:val="00F804AE"/>
    <w:rsid w:val="00FA21F3"/>
    <w:rsid w:val="00FA7A35"/>
    <w:rsid w:val="00FB14D4"/>
    <w:rsid w:val="00FB36F8"/>
    <w:rsid w:val="00FD4036"/>
    <w:rsid w:val="00FE439D"/>
    <w:rsid w:val="00FF2A7C"/>
    <w:rsid w:val="00FF7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36"/>
    <w:rPr>
      <w:rFonts w:ascii="Arial" w:hAnsi="Arial"/>
      <w:sz w:val="22"/>
      <w:szCs w:val="24"/>
      <w:lang w:val="en-GB"/>
    </w:rPr>
  </w:style>
  <w:style w:type="paragraph" w:styleId="1">
    <w:name w:val="heading 1"/>
    <w:basedOn w:val="a"/>
    <w:next w:val="a"/>
    <w:link w:val="1Char"/>
    <w:autoRedefine/>
    <w:qFormat/>
    <w:rsid w:val="00FD4036"/>
    <w:pPr>
      <w:keepNext/>
      <w:keepLines/>
      <w:widowControl w:val="0"/>
      <w:spacing w:beforeLines="100" w:afterLines="100"/>
      <w:ind w:firstLineChars="200" w:firstLine="640"/>
      <w:outlineLvl w:val="0"/>
    </w:pPr>
    <w:rPr>
      <w:rFonts w:ascii="Times New Roman" w:eastAsia="黑体" w:hAnsi="Times New Roman"/>
      <w:bCs/>
      <w:kern w:val="44"/>
      <w:sz w:val="32"/>
      <w:szCs w:val="28"/>
      <w:lang w:val="en-US"/>
    </w:rPr>
  </w:style>
  <w:style w:type="paragraph" w:styleId="3">
    <w:name w:val="heading 3"/>
    <w:basedOn w:val="a"/>
    <w:next w:val="a"/>
    <w:link w:val="3Char"/>
    <w:autoRedefine/>
    <w:qFormat/>
    <w:rsid w:val="00FD4036"/>
    <w:pPr>
      <w:keepNext/>
      <w:keepLines/>
      <w:widowControl w:val="0"/>
      <w:tabs>
        <w:tab w:val="left" w:pos="7560"/>
      </w:tabs>
      <w:spacing w:beforeLines="100" w:line="360" w:lineRule="auto"/>
      <w:ind w:firstLineChars="200" w:firstLine="506"/>
      <w:outlineLvl w:val="2"/>
    </w:pPr>
    <w:rPr>
      <w:rFonts w:ascii="宋体" w:hAnsi="宋体"/>
      <w:b/>
      <w:bCs/>
      <w:spacing w:val="6"/>
      <w:kern w:val="2"/>
      <w:sz w:val="24"/>
      <w:lang w:val="en-US"/>
    </w:rPr>
  </w:style>
  <w:style w:type="paragraph" w:styleId="7">
    <w:name w:val="heading 7"/>
    <w:basedOn w:val="a"/>
    <w:next w:val="a"/>
    <w:link w:val="7Char"/>
    <w:qFormat/>
    <w:rsid w:val="00FD4036"/>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D4036"/>
    <w:rPr>
      <w:rFonts w:eastAsia="黑体"/>
      <w:bCs/>
      <w:kern w:val="44"/>
      <w:sz w:val="32"/>
      <w:szCs w:val="28"/>
      <w:lang w:val="en-US" w:eastAsia="zh-CN" w:bidi="ar-SA"/>
    </w:rPr>
  </w:style>
  <w:style w:type="character" w:customStyle="1" w:styleId="3Char">
    <w:name w:val="标题 3 Char"/>
    <w:basedOn w:val="a0"/>
    <w:link w:val="3"/>
    <w:rsid w:val="00FD4036"/>
    <w:rPr>
      <w:rFonts w:ascii="宋体" w:eastAsia="宋体" w:hAnsi="宋体"/>
      <w:b/>
      <w:bCs/>
      <w:spacing w:val="6"/>
      <w:kern w:val="2"/>
      <w:sz w:val="24"/>
      <w:szCs w:val="24"/>
      <w:lang w:val="en-US" w:eastAsia="zh-CN" w:bidi="ar-SA"/>
    </w:rPr>
  </w:style>
  <w:style w:type="character" w:customStyle="1" w:styleId="7Char">
    <w:name w:val="标题 7 Char"/>
    <w:basedOn w:val="a0"/>
    <w:link w:val="7"/>
    <w:rsid w:val="00FD4036"/>
    <w:rPr>
      <w:rFonts w:ascii="Arial" w:hAnsi="Arial"/>
      <w:b/>
      <w:bCs/>
      <w:sz w:val="24"/>
      <w:szCs w:val="24"/>
      <w:lang w:val="en-GB"/>
    </w:rPr>
  </w:style>
  <w:style w:type="character" w:styleId="a3">
    <w:name w:val="Strong"/>
    <w:basedOn w:val="a0"/>
    <w:qFormat/>
    <w:rsid w:val="00FD4036"/>
    <w:rPr>
      <w:rFonts w:cs="Times New Roman"/>
      <w:b/>
      <w:bCs/>
    </w:rPr>
  </w:style>
  <w:style w:type="paragraph" w:customStyle="1" w:styleId="a4">
    <w:name w:val="一级标题"/>
    <w:basedOn w:val="a"/>
    <w:link w:val="Char"/>
    <w:qFormat/>
    <w:rsid w:val="00FD4036"/>
    <w:pPr>
      <w:keepNext/>
      <w:keepLines/>
      <w:widowControl w:val="0"/>
      <w:spacing w:beforeLines="100" w:afterLines="100" w:line="360" w:lineRule="auto"/>
      <w:ind w:firstLineChars="200" w:firstLine="747"/>
      <w:outlineLvl w:val="0"/>
    </w:pPr>
    <w:rPr>
      <w:rFonts w:ascii="宋体" w:hAnsi="宋体" w:cs="宋体"/>
      <w:b/>
      <w:spacing w:val="6"/>
      <w:kern w:val="44"/>
      <w:sz w:val="36"/>
      <w:szCs w:val="36"/>
      <w:lang w:val="en-US"/>
    </w:rPr>
  </w:style>
  <w:style w:type="character" w:customStyle="1" w:styleId="Char">
    <w:name w:val="一级标题 Char"/>
    <w:basedOn w:val="a0"/>
    <w:link w:val="a4"/>
    <w:rsid w:val="00FD4036"/>
    <w:rPr>
      <w:rFonts w:ascii="宋体" w:hAnsi="宋体" w:cs="宋体"/>
      <w:b/>
      <w:spacing w:val="6"/>
      <w:kern w:val="44"/>
      <w:sz w:val="36"/>
      <w:szCs w:val="36"/>
    </w:rPr>
  </w:style>
  <w:style w:type="paragraph" w:customStyle="1" w:styleId="a5">
    <w:name w:val="新正文"/>
    <w:basedOn w:val="a"/>
    <w:link w:val="Char0"/>
    <w:qFormat/>
    <w:rsid w:val="00FD4036"/>
    <w:pPr>
      <w:widowControl w:val="0"/>
      <w:spacing w:line="360" w:lineRule="auto"/>
      <w:ind w:firstLineChars="200" w:firstLine="444"/>
    </w:pPr>
    <w:rPr>
      <w:rFonts w:ascii="Times New Roman" w:hAnsi="Times New Roman"/>
      <w:spacing w:val="6"/>
      <w:kern w:val="2"/>
      <w:sz w:val="21"/>
      <w:szCs w:val="21"/>
      <w:lang w:val="en-US"/>
    </w:rPr>
  </w:style>
  <w:style w:type="character" w:customStyle="1" w:styleId="Char0">
    <w:name w:val="新正文 Char"/>
    <w:basedOn w:val="a0"/>
    <w:link w:val="a5"/>
    <w:rsid w:val="00FD4036"/>
    <w:rPr>
      <w:spacing w:val="6"/>
      <w:kern w:val="2"/>
      <w:sz w:val="21"/>
      <w:szCs w:val="21"/>
    </w:rPr>
  </w:style>
  <w:style w:type="paragraph" w:customStyle="1" w:styleId="a6">
    <w:name w:val="三级标题"/>
    <w:link w:val="Char1"/>
    <w:qFormat/>
    <w:rsid w:val="00FD4036"/>
  </w:style>
  <w:style w:type="paragraph" w:styleId="a7">
    <w:name w:val="Body Text Indent"/>
    <w:basedOn w:val="a"/>
    <w:link w:val="Char2"/>
    <w:uiPriority w:val="99"/>
    <w:semiHidden/>
    <w:unhideWhenUsed/>
    <w:rsid w:val="00FD4036"/>
    <w:pPr>
      <w:spacing w:after="120"/>
      <w:ind w:leftChars="200" w:left="420"/>
    </w:pPr>
  </w:style>
  <w:style w:type="character" w:customStyle="1" w:styleId="Char2">
    <w:name w:val="正文文本缩进 Char"/>
    <w:basedOn w:val="a0"/>
    <w:link w:val="a7"/>
    <w:uiPriority w:val="99"/>
    <w:semiHidden/>
    <w:rsid w:val="00FD4036"/>
    <w:rPr>
      <w:rFonts w:ascii="Arial" w:hAnsi="Arial"/>
      <w:sz w:val="22"/>
      <w:szCs w:val="24"/>
      <w:lang w:val="en-GB"/>
    </w:rPr>
  </w:style>
  <w:style w:type="character" w:customStyle="1" w:styleId="Char1">
    <w:name w:val="三级标题 Char"/>
    <w:basedOn w:val="Char2"/>
    <w:link w:val="a6"/>
    <w:rsid w:val="00FD4036"/>
  </w:style>
  <w:style w:type="paragraph" w:customStyle="1" w:styleId="a8">
    <w:name w:val="二级标题"/>
    <w:basedOn w:val="a6"/>
    <w:link w:val="Char3"/>
    <w:qFormat/>
    <w:rsid w:val="00FD4036"/>
    <w:pPr>
      <w:widowControl w:val="0"/>
      <w:adjustRightInd w:val="0"/>
      <w:spacing w:beforeLines="100" w:line="360" w:lineRule="auto"/>
      <w:ind w:firstLineChars="200" w:firstLine="506"/>
      <w:jc w:val="both"/>
      <w:outlineLvl w:val="1"/>
    </w:pPr>
    <w:rPr>
      <w:rFonts w:ascii="宋体"/>
      <w:b/>
      <w:spacing w:val="6"/>
      <w:kern w:val="2"/>
      <w:sz w:val="24"/>
    </w:rPr>
  </w:style>
  <w:style w:type="character" w:customStyle="1" w:styleId="Char3">
    <w:name w:val="二级标题 Char"/>
    <w:basedOn w:val="Char1"/>
    <w:link w:val="a8"/>
    <w:rsid w:val="00FD4036"/>
    <w:rPr>
      <w:rFonts w:ascii="宋体"/>
      <w:b/>
      <w:spacing w:val="6"/>
      <w:kern w:val="2"/>
      <w:sz w:val="24"/>
    </w:rPr>
  </w:style>
  <w:style w:type="paragraph" w:customStyle="1" w:styleId="a9">
    <w:name w:val="四级标题"/>
    <w:basedOn w:val="a"/>
    <w:link w:val="Char4"/>
    <w:qFormat/>
    <w:rsid w:val="00FD4036"/>
    <w:pPr>
      <w:widowControl w:val="0"/>
      <w:snapToGrid w:val="0"/>
      <w:spacing w:beforeLines="100" w:line="360" w:lineRule="auto"/>
      <w:ind w:firstLineChars="200" w:firstLine="446"/>
      <w:outlineLvl w:val="3"/>
    </w:pPr>
    <w:rPr>
      <w:rFonts w:ascii="宋体" w:hAnsi="宋体"/>
      <w:b/>
      <w:spacing w:val="6"/>
      <w:kern w:val="2"/>
      <w:sz w:val="21"/>
      <w:szCs w:val="21"/>
      <w:lang w:val="en-US"/>
    </w:rPr>
  </w:style>
  <w:style w:type="character" w:customStyle="1" w:styleId="Char4">
    <w:name w:val="四级标题 Char"/>
    <w:basedOn w:val="a0"/>
    <w:link w:val="a9"/>
    <w:rsid w:val="00FD4036"/>
    <w:rPr>
      <w:rFonts w:ascii="宋体" w:hAnsi="宋体"/>
      <w:b/>
      <w:spacing w:val="6"/>
      <w:kern w:val="2"/>
      <w:sz w:val="21"/>
      <w:szCs w:val="21"/>
    </w:rPr>
  </w:style>
  <w:style w:type="paragraph" w:customStyle="1" w:styleId="aa">
    <w:name w:val="四级后标题"/>
    <w:basedOn w:val="a"/>
    <w:link w:val="Char5"/>
    <w:qFormat/>
    <w:rsid w:val="00FD4036"/>
    <w:pPr>
      <w:widowControl w:val="0"/>
      <w:snapToGrid w:val="0"/>
      <w:spacing w:beforeLines="100" w:line="360" w:lineRule="auto"/>
      <w:ind w:firstLineChars="200" w:firstLine="446"/>
    </w:pPr>
    <w:rPr>
      <w:rFonts w:ascii="宋体" w:hAnsi="宋体"/>
      <w:b/>
      <w:spacing w:val="6"/>
      <w:kern w:val="2"/>
      <w:sz w:val="21"/>
      <w:szCs w:val="21"/>
      <w:lang w:val="en-US"/>
    </w:rPr>
  </w:style>
  <w:style w:type="character" w:customStyle="1" w:styleId="Char5">
    <w:name w:val="四级后标题 Char"/>
    <w:basedOn w:val="a0"/>
    <w:link w:val="aa"/>
    <w:rsid w:val="00FD4036"/>
    <w:rPr>
      <w:rFonts w:ascii="宋体" w:hAnsi="宋体"/>
      <w:b/>
      <w:spacing w:val="6"/>
      <w:kern w:val="2"/>
      <w:sz w:val="21"/>
      <w:szCs w:val="21"/>
    </w:rPr>
  </w:style>
  <w:style w:type="paragraph" w:customStyle="1" w:styleId="ab">
    <w:name w:val="明细表名称"/>
    <w:basedOn w:val="a"/>
    <w:link w:val="Char6"/>
    <w:qFormat/>
    <w:rsid w:val="00FD4036"/>
    <w:pPr>
      <w:widowControl w:val="0"/>
      <w:spacing w:line="360" w:lineRule="auto"/>
      <w:ind w:firstLineChars="200" w:firstLine="492"/>
    </w:pPr>
    <w:rPr>
      <w:rFonts w:ascii="宋体" w:hAnsi="宋体"/>
      <w:bCs/>
      <w:kern w:val="2"/>
      <w:sz w:val="24"/>
      <w:lang w:val="en-US"/>
    </w:rPr>
  </w:style>
  <w:style w:type="character" w:customStyle="1" w:styleId="Char6">
    <w:name w:val="明细表名称 Char"/>
    <w:basedOn w:val="a0"/>
    <w:link w:val="ab"/>
    <w:rsid w:val="00FD4036"/>
    <w:rPr>
      <w:rFonts w:ascii="宋体" w:hAnsi="宋体"/>
      <w:bCs/>
      <w:kern w:val="2"/>
      <w:sz w:val="24"/>
      <w:szCs w:val="24"/>
    </w:rPr>
  </w:style>
  <w:style w:type="paragraph" w:styleId="ac">
    <w:name w:val="header"/>
    <w:basedOn w:val="a"/>
    <w:link w:val="Char7"/>
    <w:uiPriority w:val="99"/>
    <w:semiHidden/>
    <w:unhideWhenUsed/>
    <w:rsid w:val="00011B89"/>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c"/>
    <w:uiPriority w:val="99"/>
    <w:semiHidden/>
    <w:rsid w:val="00011B89"/>
    <w:rPr>
      <w:rFonts w:ascii="Arial" w:hAnsi="Arial"/>
      <w:sz w:val="18"/>
      <w:szCs w:val="18"/>
      <w:lang w:val="en-GB"/>
    </w:rPr>
  </w:style>
  <w:style w:type="paragraph" w:styleId="ad">
    <w:name w:val="footer"/>
    <w:basedOn w:val="a"/>
    <w:link w:val="Char8"/>
    <w:uiPriority w:val="99"/>
    <w:unhideWhenUsed/>
    <w:rsid w:val="00011B89"/>
    <w:pPr>
      <w:tabs>
        <w:tab w:val="center" w:pos="4153"/>
        <w:tab w:val="right" w:pos="8306"/>
      </w:tabs>
      <w:snapToGrid w:val="0"/>
    </w:pPr>
    <w:rPr>
      <w:sz w:val="18"/>
      <w:szCs w:val="18"/>
    </w:rPr>
  </w:style>
  <w:style w:type="character" w:customStyle="1" w:styleId="Char8">
    <w:name w:val="页脚 Char"/>
    <w:basedOn w:val="a0"/>
    <w:link w:val="ad"/>
    <w:uiPriority w:val="99"/>
    <w:rsid w:val="00011B89"/>
    <w:rPr>
      <w:rFonts w:ascii="Arial" w:hAnsi="Arial"/>
      <w:sz w:val="18"/>
      <w:szCs w:val="18"/>
      <w:lang w:val="en-GB"/>
    </w:rPr>
  </w:style>
  <w:style w:type="paragraph" w:styleId="ae">
    <w:name w:val="List Paragraph"/>
    <w:basedOn w:val="a"/>
    <w:uiPriority w:val="34"/>
    <w:qFormat/>
    <w:rsid w:val="00011B89"/>
    <w:pPr>
      <w:ind w:firstLineChars="200" w:firstLine="420"/>
    </w:pPr>
  </w:style>
  <w:style w:type="paragraph" w:styleId="af">
    <w:name w:val="Balloon Text"/>
    <w:basedOn w:val="a"/>
    <w:link w:val="Char9"/>
    <w:uiPriority w:val="99"/>
    <w:semiHidden/>
    <w:unhideWhenUsed/>
    <w:rsid w:val="00DF5DB4"/>
    <w:rPr>
      <w:sz w:val="18"/>
      <w:szCs w:val="18"/>
    </w:rPr>
  </w:style>
  <w:style w:type="character" w:customStyle="1" w:styleId="Char9">
    <w:name w:val="批注框文本 Char"/>
    <w:basedOn w:val="a0"/>
    <w:link w:val="af"/>
    <w:uiPriority w:val="99"/>
    <w:semiHidden/>
    <w:rsid w:val="00DF5DB4"/>
    <w:rPr>
      <w:rFonts w:ascii="Arial" w:hAnsi="Arial"/>
      <w:sz w:val="18"/>
      <w:szCs w:val="18"/>
      <w:lang w:val="en-GB"/>
    </w:rPr>
  </w:style>
  <w:style w:type="paragraph" w:customStyle="1" w:styleId="Default">
    <w:name w:val="Default"/>
    <w:rsid w:val="001B3160"/>
    <w:pPr>
      <w:widowControl w:val="0"/>
      <w:autoSpaceDE w:val="0"/>
      <w:autoSpaceDN w:val="0"/>
      <w:adjustRightInd w:val="0"/>
    </w:pPr>
    <w:rPr>
      <w:rFonts w:ascii="宋体" w:cs="宋体"/>
      <w:color w:val="000000"/>
      <w:sz w:val="24"/>
      <w:szCs w:val="24"/>
    </w:rPr>
  </w:style>
  <w:style w:type="paragraph" w:styleId="af0">
    <w:name w:val="Date"/>
    <w:basedOn w:val="a"/>
    <w:next w:val="a"/>
    <w:link w:val="Chara"/>
    <w:uiPriority w:val="99"/>
    <w:semiHidden/>
    <w:unhideWhenUsed/>
    <w:rsid w:val="009B5BF8"/>
    <w:pPr>
      <w:ind w:leftChars="2500" w:left="100"/>
    </w:pPr>
  </w:style>
  <w:style w:type="character" w:customStyle="1" w:styleId="Chara">
    <w:name w:val="日期 Char"/>
    <w:basedOn w:val="a0"/>
    <w:link w:val="af0"/>
    <w:uiPriority w:val="99"/>
    <w:semiHidden/>
    <w:rsid w:val="009B5BF8"/>
    <w:rPr>
      <w:rFonts w:ascii="Arial" w:hAnsi="Arial"/>
      <w:sz w:val="22"/>
      <w:szCs w:val="24"/>
      <w:lang w:val="en-GB"/>
    </w:rPr>
  </w:style>
  <w:style w:type="table" w:styleId="af1">
    <w:name w:val="Table Grid"/>
    <w:basedOn w:val="a1"/>
    <w:uiPriority w:val="59"/>
    <w:rsid w:val="007D56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59274">
      <w:bodyDiv w:val="1"/>
      <w:marLeft w:val="0"/>
      <w:marRight w:val="0"/>
      <w:marTop w:val="0"/>
      <w:marBottom w:val="0"/>
      <w:divBdr>
        <w:top w:val="none" w:sz="0" w:space="0" w:color="auto"/>
        <w:left w:val="none" w:sz="0" w:space="0" w:color="auto"/>
        <w:bottom w:val="none" w:sz="0" w:space="0" w:color="auto"/>
        <w:right w:val="none" w:sz="0" w:space="0" w:color="auto"/>
      </w:divBdr>
    </w:div>
    <w:div w:id="41833098">
      <w:bodyDiv w:val="1"/>
      <w:marLeft w:val="0"/>
      <w:marRight w:val="0"/>
      <w:marTop w:val="0"/>
      <w:marBottom w:val="0"/>
      <w:divBdr>
        <w:top w:val="none" w:sz="0" w:space="0" w:color="auto"/>
        <w:left w:val="none" w:sz="0" w:space="0" w:color="auto"/>
        <w:bottom w:val="none" w:sz="0" w:space="0" w:color="auto"/>
        <w:right w:val="none" w:sz="0" w:space="0" w:color="auto"/>
      </w:divBdr>
    </w:div>
    <w:div w:id="68969611">
      <w:bodyDiv w:val="1"/>
      <w:marLeft w:val="0"/>
      <w:marRight w:val="0"/>
      <w:marTop w:val="0"/>
      <w:marBottom w:val="0"/>
      <w:divBdr>
        <w:top w:val="none" w:sz="0" w:space="0" w:color="auto"/>
        <w:left w:val="none" w:sz="0" w:space="0" w:color="auto"/>
        <w:bottom w:val="none" w:sz="0" w:space="0" w:color="auto"/>
        <w:right w:val="none" w:sz="0" w:space="0" w:color="auto"/>
      </w:divBdr>
    </w:div>
    <w:div w:id="92476202">
      <w:bodyDiv w:val="1"/>
      <w:marLeft w:val="0"/>
      <w:marRight w:val="0"/>
      <w:marTop w:val="0"/>
      <w:marBottom w:val="0"/>
      <w:divBdr>
        <w:top w:val="none" w:sz="0" w:space="0" w:color="auto"/>
        <w:left w:val="none" w:sz="0" w:space="0" w:color="auto"/>
        <w:bottom w:val="none" w:sz="0" w:space="0" w:color="auto"/>
        <w:right w:val="none" w:sz="0" w:space="0" w:color="auto"/>
      </w:divBdr>
    </w:div>
    <w:div w:id="136145076">
      <w:bodyDiv w:val="1"/>
      <w:marLeft w:val="0"/>
      <w:marRight w:val="0"/>
      <w:marTop w:val="0"/>
      <w:marBottom w:val="0"/>
      <w:divBdr>
        <w:top w:val="none" w:sz="0" w:space="0" w:color="auto"/>
        <w:left w:val="none" w:sz="0" w:space="0" w:color="auto"/>
        <w:bottom w:val="none" w:sz="0" w:space="0" w:color="auto"/>
        <w:right w:val="none" w:sz="0" w:space="0" w:color="auto"/>
      </w:divBdr>
    </w:div>
    <w:div w:id="147946715">
      <w:bodyDiv w:val="1"/>
      <w:marLeft w:val="0"/>
      <w:marRight w:val="0"/>
      <w:marTop w:val="0"/>
      <w:marBottom w:val="0"/>
      <w:divBdr>
        <w:top w:val="none" w:sz="0" w:space="0" w:color="auto"/>
        <w:left w:val="none" w:sz="0" w:space="0" w:color="auto"/>
        <w:bottom w:val="none" w:sz="0" w:space="0" w:color="auto"/>
        <w:right w:val="none" w:sz="0" w:space="0" w:color="auto"/>
      </w:divBdr>
    </w:div>
    <w:div w:id="197936291">
      <w:bodyDiv w:val="1"/>
      <w:marLeft w:val="0"/>
      <w:marRight w:val="0"/>
      <w:marTop w:val="0"/>
      <w:marBottom w:val="0"/>
      <w:divBdr>
        <w:top w:val="none" w:sz="0" w:space="0" w:color="auto"/>
        <w:left w:val="none" w:sz="0" w:space="0" w:color="auto"/>
        <w:bottom w:val="none" w:sz="0" w:space="0" w:color="auto"/>
        <w:right w:val="none" w:sz="0" w:space="0" w:color="auto"/>
      </w:divBdr>
    </w:div>
    <w:div w:id="200476705">
      <w:bodyDiv w:val="1"/>
      <w:marLeft w:val="0"/>
      <w:marRight w:val="0"/>
      <w:marTop w:val="0"/>
      <w:marBottom w:val="0"/>
      <w:divBdr>
        <w:top w:val="none" w:sz="0" w:space="0" w:color="auto"/>
        <w:left w:val="none" w:sz="0" w:space="0" w:color="auto"/>
        <w:bottom w:val="none" w:sz="0" w:space="0" w:color="auto"/>
        <w:right w:val="none" w:sz="0" w:space="0" w:color="auto"/>
      </w:divBdr>
    </w:div>
    <w:div w:id="227568827">
      <w:bodyDiv w:val="1"/>
      <w:marLeft w:val="0"/>
      <w:marRight w:val="0"/>
      <w:marTop w:val="0"/>
      <w:marBottom w:val="0"/>
      <w:divBdr>
        <w:top w:val="none" w:sz="0" w:space="0" w:color="auto"/>
        <w:left w:val="none" w:sz="0" w:space="0" w:color="auto"/>
        <w:bottom w:val="none" w:sz="0" w:space="0" w:color="auto"/>
        <w:right w:val="none" w:sz="0" w:space="0" w:color="auto"/>
      </w:divBdr>
    </w:div>
    <w:div w:id="235210533">
      <w:bodyDiv w:val="1"/>
      <w:marLeft w:val="0"/>
      <w:marRight w:val="0"/>
      <w:marTop w:val="0"/>
      <w:marBottom w:val="0"/>
      <w:divBdr>
        <w:top w:val="none" w:sz="0" w:space="0" w:color="auto"/>
        <w:left w:val="none" w:sz="0" w:space="0" w:color="auto"/>
        <w:bottom w:val="none" w:sz="0" w:space="0" w:color="auto"/>
        <w:right w:val="none" w:sz="0" w:space="0" w:color="auto"/>
      </w:divBdr>
    </w:div>
    <w:div w:id="237178793">
      <w:bodyDiv w:val="1"/>
      <w:marLeft w:val="0"/>
      <w:marRight w:val="0"/>
      <w:marTop w:val="0"/>
      <w:marBottom w:val="0"/>
      <w:divBdr>
        <w:top w:val="none" w:sz="0" w:space="0" w:color="auto"/>
        <w:left w:val="none" w:sz="0" w:space="0" w:color="auto"/>
        <w:bottom w:val="none" w:sz="0" w:space="0" w:color="auto"/>
        <w:right w:val="none" w:sz="0" w:space="0" w:color="auto"/>
      </w:divBdr>
    </w:div>
    <w:div w:id="253902541">
      <w:bodyDiv w:val="1"/>
      <w:marLeft w:val="0"/>
      <w:marRight w:val="0"/>
      <w:marTop w:val="0"/>
      <w:marBottom w:val="0"/>
      <w:divBdr>
        <w:top w:val="none" w:sz="0" w:space="0" w:color="auto"/>
        <w:left w:val="none" w:sz="0" w:space="0" w:color="auto"/>
        <w:bottom w:val="none" w:sz="0" w:space="0" w:color="auto"/>
        <w:right w:val="none" w:sz="0" w:space="0" w:color="auto"/>
      </w:divBdr>
    </w:div>
    <w:div w:id="266234320">
      <w:bodyDiv w:val="1"/>
      <w:marLeft w:val="0"/>
      <w:marRight w:val="0"/>
      <w:marTop w:val="0"/>
      <w:marBottom w:val="0"/>
      <w:divBdr>
        <w:top w:val="none" w:sz="0" w:space="0" w:color="auto"/>
        <w:left w:val="none" w:sz="0" w:space="0" w:color="auto"/>
        <w:bottom w:val="none" w:sz="0" w:space="0" w:color="auto"/>
        <w:right w:val="none" w:sz="0" w:space="0" w:color="auto"/>
      </w:divBdr>
    </w:div>
    <w:div w:id="326176925">
      <w:bodyDiv w:val="1"/>
      <w:marLeft w:val="0"/>
      <w:marRight w:val="0"/>
      <w:marTop w:val="0"/>
      <w:marBottom w:val="0"/>
      <w:divBdr>
        <w:top w:val="none" w:sz="0" w:space="0" w:color="auto"/>
        <w:left w:val="none" w:sz="0" w:space="0" w:color="auto"/>
        <w:bottom w:val="none" w:sz="0" w:space="0" w:color="auto"/>
        <w:right w:val="none" w:sz="0" w:space="0" w:color="auto"/>
      </w:divBdr>
    </w:div>
    <w:div w:id="346373412">
      <w:bodyDiv w:val="1"/>
      <w:marLeft w:val="0"/>
      <w:marRight w:val="0"/>
      <w:marTop w:val="0"/>
      <w:marBottom w:val="0"/>
      <w:divBdr>
        <w:top w:val="none" w:sz="0" w:space="0" w:color="auto"/>
        <w:left w:val="none" w:sz="0" w:space="0" w:color="auto"/>
        <w:bottom w:val="none" w:sz="0" w:space="0" w:color="auto"/>
        <w:right w:val="none" w:sz="0" w:space="0" w:color="auto"/>
      </w:divBdr>
    </w:div>
    <w:div w:id="347289761">
      <w:bodyDiv w:val="1"/>
      <w:marLeft w:val="0"/>
      <w:marRight w:val="0"/>
      <w:marTop w:val="0"/>
      <w:marBottom w:val="0"/>
      <w:divBdr>
        <w:top w:val="none" w:sz="0" w:space="0" w:color="auto"/>
        <w:left w:val="none" w:sz="0" w:space="0" w:color="auto"/>
        <w:bottom w:val="none" w:sz="0" w:space="0" w:color="auto"/>
        <w:right w:val="none" w:sz="0" w:space="0" w:color="auto"/>
      </w:divBdr>
    </w:div>
    <w:div w:id="361904624">
      <w:bodyDiv w:val="1"/>
      <w:marLeft w:val="0"/>
      <w:marRight w:val="0"/>
      <w:marTop w:val="0"/>
      <w:marBottom w:val="0"/>
      <w:divBdr>
        <w:top w:val="none" w:sz="0" w:space="0" w:color="auto"/>
        <w:left w:val="none" w:sz="0" w:space="0" w:color="auto"/>
        <w:bottom w:val="none" w:sz="0" w:space="0" w:color="auto"/>
        <w:right w:val="none" w:sz="0" w:space="0" w:color="auto"/>
      </w:divBdr>
    </w:div>
    <w:div w:id="373121901">
      <w:bodyDiv w:val="1"/>
      <w:marLeft w:val="0"/>
      <w:marRight w:val="0"/>
      <w:marTop w:val="0"/>
      <w:marBottom w:val="0"/>
      <w:divBdr>
        <w:top w:val="none" w:sz="0" w:space="0" w:color="auto"/>
        <w:left w:val="none" w:sz="0" w:space="0" w:color="auto"/>
        <w:bottom w:val="none" w:sz="0" w:space="0" w:color="auto"/>
        <w:right w:val="none" w:sz="0" w:space="0" w:color="auto"/>
      </w:divBdr>
    </w:div>
    <w:div w:id="456030594">
      <w:bodyDiv w:val="1"/>
      <w:marLeft w:val="0"/>
      <w:marRight w:val="0"/>
      <w:marTop w:val="0"/>
      <w:marBottom w:val="0"/>
      <w:divBdr>
        <w:top w:val="none" w:sz="0" w:space="0" w:color="auto"/>
        <w:left w:val="none" w:sz="0" w:space="0" w:color="auto"/>
        <w:bottom w:val="none" w:sz="0" w:space="0" w:color="auto"/>
        <w:right w:val="none" w:sz="0" w:space="0" w:color="auto"/>
      </w:divBdr>
    </w:div>
    <w:div w:id="462701643">
      <w:bodyDiv w:val="1"/>
      <w:marLeft w:val="0"/>
      <w:marRight w:val="0"/>
      <w:marTop w:val="0"/>
      <w:marBottom w:val="0"/>
      <w:divBdr>
        <w:top w:val="none" w:sz="0" w:space="0" w:color="auto"/>
        <w:left w:val="none" w:sz="0" w:space="0" w:color="auto"/>
        <w:bottom w:val="none" w:sz="0" w:space="0" w:color="auto"/>
        <w:right w:val="none" w:sz="0" w:space="0" w:color="auto"/>
      </w:divBdr>
    </w:div>
    <w:div w:id="463232350">
      <w:bodyDiv w:val="1"/>
      <w:marLeft w:val="0"/>
      <w:marRight w:val="0"/>
      <w:marTop w:val="0"/>
      <w:marBottom w:val="0"/>
      <w:divBdr>
        <w:top w:val="none" w:sz="0" w:space="0" w:color="auto"/>
        <w:left w:val="none" w:sz="0" w:space="0" w:color="auto"/>
        <w:bottom w:val="none" w:sz="0" w:space="0" w:color="auto"/>
        <w:right w:val="none" w:sz="0" w:space="0" w:color="auto"/>
      </w:divBdr>
    </w:div>
    <w:div w:id="488668881">
      <w:bodyDiv w:val="1"/>
      <w:marLeft w:val="0"/>
      <w:marRight w:val="0"/>
      <w:marTop w:val="0"/>
      <w:marBottom w:val="0"/>
      <w:divBdr>
        <w:top w:val="none" w:sz="0" w:space="0" w:color="auto"/>
        <w:left w:val="none" w:sz="0" w:space="0" w:color="auto"/>
        <w:bottom w:val="none" w:sz="0" w:space="0" w:color="auto"/>
        <w:right w:val="none" w:sz="0" w:space="0" w:color="auto"/>
      </w:divBdr>
    </w:div>
    <w:div w:id="541132816">
      <w:bodyDiv w:val="1"/>
      <w:marLeft w:val="0"/>
      <w:marRight w:val="0"/>
      <w:marTop w:val="0"/>
      <w:marBottom w:val="0"/>
      <w:divBdr>
        <w:top w:val="none" w:sz="0" w:space="0" w:color="auto"/>
        <w:left w:val="none" w:sz="0" w:space="0" w:color="auto"/>
        <w:bottom w:val="none" w:sz="0" w:space="0" w:color="auto"/>
        <w:right w:val="none" w:sz="0" w:space="0" w:color="auto"/>
      </w:divBdr>
    </w:div>
    <w:div w:id="545291613">
      <w:bodyDiv w:val="1"/>
      <w:marLeft w:val="0"/>
      <w:marRight w:val="0"/>
      <w:marTop w:val="0"/>
      <w:marBottom w:val="0"/>
      <w:divBdr>
        <w:top w:val="none" w:sz="0" w:space="0" w:color="auto"/>
        <w:left w:val="none" w:sz="0" w:space="0" w:color="auto"/>
        <w:bottom w:val="none" w:sz="0" w:space="0" w:color="auto"/>
        <w:right w:val="none" w:sz="0" w:space="0" w:color="auto"/>
      </w:divBdr>
    </w:div>
    <w:div w:id="549072478">
      <w:bodyDiv w:val="1"/>
      <w:marLeft w:val="0"/>
      <w:marRight w:val="0"/>
      <w:marTop w:val="0"/>
      <w:marBottom w:val="0"/>
      <w:divBdr>
        <w:top w:val="none" w:sz="0" w:space="0" w:color="auto"/>
        <w:left w:val="none" w:sz="0" w:space="0" w:color="auto"/>
        <w:bottom w:val="none" w:sz="0" w:space="0" w:color="auto"/>
        <w:right w:val="none" w:sz="0" w:space="0" w:color="auto"/>
      </w:divBdr>
    </w:div>
    <w:div w:id="582565160">
      <w:bodyDiv w:val="1"/>
      <w:marLeft w:val="0"/>
      <w:marRight w:val="0"/>
      <w:marTop w:val="0"/>
      <w:marBottom w:val="0"/>
      <w:divBdr>
        <w:top w:val="none" w:sz="0" w:space="0" w:color="auto"/>
        <w:left w:val="none" w:sz="0" w:space="0" w:color="auto"/>
        <w:bottom w:val="none" w:sz="0" w:space="0" w:color="auto"/>
        <w:right w:val="none" w:sz="0" w:space="0" w:color="auto"/>
      </w:divBdr>
    </w:div>
    <w:div w:id="584800825">
      <w:bodyDiv w:val="1"/>
      <w:marLeft w:val="0"/>
      <w:marRight w:val="0"/>
      <w:marTop w:val="0"/>
      <w:marBottom w:val="0"/>
      <w:divBdr>
        <w:top w:val="none" w:sz="0" w:space="0" w:color="auto"/>
        <w:left w:val="none" w:sz="0" w:space="0" w:color="auto"/>
        <w:bottom w:val="none" w:sz="0" w:space="0" w:color="auto"/>
        <w:right w:val="none" w:sz="0" w:space="0" w:color="auto"/>
      </w:divBdr>
    </w:div>
    <w:div w:id="598175347">
      <w:bodyDiv w:val="1"/>
      <w:marLeft w:val="0"/>
      <w:marRight w:val="0"/>
      <w:marTop w:val="0"/>
      <w:marBottom w:val="0"/>
      <w:divBdr>
        <w:top w:val="none" w:sz="0" w:space="0" w:color="auto"/>
        <w:left w:val="none" w:sz="0" w:space="0" w:color="auto"/>
        <w:bottom w:val="none" w:sz="0" w:space="0" w:color="auto"/>
        <w:right w:val="none" w:sz="0" w:space="0" w:color="auto"/>
      </w:divBdr>
    </w:div>
    <w:div w:id="602688173">
      <w:bodyDiv w:val="1"/>
      <w:marLeft w:val="0"/>
      <w:marRight w:val="0"/>
      <w:marTop w:val="0"/>
      <w:marBottom w:val="0"/>
      <w:divBdr>
        <w:top w:val="none" w:sz="0" w:space="0" w:color="auto"/>
        <w:left w:val="none" w:sz="0" w:space="0" w:color="auto"/>
        <w:bottom w:val="none" w:sz="0" w:space="0" w:color="auto"/>
        <w:right w:val="none" w:sz="0" w:space="0" w:color="auto"/>
      </w:divBdr>
    </w:div>
    <w:div w:id="603004877">
      <w:bodyDiv w:val="1"/>
      <w:marLeft w:val="0"/>
      <w:marRight w:val="0"/>
      <w:marTop w:val="0"/>
      <w:marBottom w:val="0"/>
      <w:divBdr>
        <w:top w:val="none" w:sz="0" w:space="0" w:color="auto"/>
        <w:left w:val="none" w:sz="0" w:space="0" w:color="auto"/>
        <w:bottom w:val="none" w:sz="0" w:space="0" w:color="auto"/>
        <w:right w:val="none" w:sz="0" w:space="0" w:color="auto"/>
      </w:divBdr>
    </w:div>
    <w:div w:id="637689481">
      <w:bodyDiv w:val="1"/>
      <w:marLeft w:val="0"/>
      <w:marRight w:val="0"/>
      <w:marTop w:val="0"/>
      <w:marBottom w:val="0"/>
      <w:divBdr>
        <w:top w:val="none" w:sz="0" w:space="0" w:color="auto"/>
        <w:left w:val="none" w:sz="0" w:space="0" w:color="auto"/>
        <w:bottom w:val="none" w:sz="0" w:space="0" w:color="auto"/>
        <w:right w:val="none" w:sz="0" w:space="0" w:color="auto"/>
      </w:divBdr>
    </w:div>
    <w:div w:id="662439508">
      <w:bodyDiv w:val="1"/>
      <w:marLeft w:val="0"/>
      <w:marRight w:val="0"/>
      <w:marTop w:val="0"/>
      <w:marBottom w:val="0"/>
      <w:divBdr>
        <w:top w:val="none" w:sz="0" w:space="0" w:color="auto"/>
        <w:left w:val="none" w:sz="0" w:space="0" w:color="auto"/>
        <w:bottom w:val="none" w:sz="0" w:space="0" w:color="auto"/>
        <w:right w:val="none" w:sz="0" w:space="0" w:color="auto"/>
      </w:divBdr>
    </w:div>
    <w:div w:id="709497181">
      <w:bodyDiv w:val="1"/>
      <w:marLeft w:val="0"/>
      <w:marRight w:val="0"/>
      <w:marTop w:val="0"/>
      <w:marBottom w:val="0"/>
      <w:divBdr>
        <w:top w:val="none" w:sz="0" w:space="0" w:color="auto"/>
        <w:left w:val="none" w:sz="0" w:space="0" w:color="auto"/>
        <w:bottom w:val="none" w:sz="0" w:space="0" w:color="auto"/>
        <w:right w:val="none" w:sz="0" w:space="0" w:color="auto"/>
      </w:divBdr>
    </w:div>
    <w:div w:id="718240322">
      <w:bodyDiv w:val="1"/>
      <w:marLeft w:val="0"/>
      <w:marRight w:val="0"/>
      <w:marTop w:val="0"/>
      <w:marBottom w:val="0"/>
      <w:divBdr>
        <w:top w:val="none" w:sz="0" w:space="0" w:color="auto"/>
        <w:left w:val="none" w:sz="0" w:space="0" w:color="auto"/>
        <w:bottom w:val="none" w:sz="0" w:space="0" w:color="auto"/>
        <w:right w:val="none" w:sz="0" w:space="0" w:color="auto"/>
      </w:divBdr>
    </w:div>
    <w:div w:id="776485104">
      <w:bodyDiv w:val="1"/>
      <w:marLeft w:val="0"/>
      <w:marRight w:val="0"/>
      <w:marTop w:val="0"/>
      <w:marBottom w:val="0"/>
      <w:divBdr>
        <w:top w:val="none" w:sz="0" w:space="0" w:color="auto"/>
        <w:left w:val="none" w:sz="0" w:space="0" w:color="auto"/>
        <w:bottom w:val="none" w:sz="0" w:space="0" w:color="auto"/>
        <w:right w:val="none" w:sz="0" w:space="0" w:color="auto"/>
      </w:divBdr>
    </w:div>
    <w:div w:id="783815621">
      <w:bodyDiv w:val="1"/>
      <w:marLeft w:val="0"/>
      <w:marRight w:val="0"/>
      <w:marTop w:val="0"/>
      <w:marBottom w:val="0"/>
      <w:divBdr>
        <w:top w:val="none" w:sz="0" w:space="0" w:color="auto"/>
        <w:left w:val="none" w:sz="0" w:space="0" w:color="auto"/>
        <w:bottom w:val="none" w:sz="0" w:space="0" w:color="auto"/>
        <w:right w:val="none" w:sz="0" w:space="0" w:color="auto"/>
      </w:divBdr>
    </w:div>
    <w:div w:id="819154182">
      <w:bodyDiv w:val="1"/>
      <w:marLeft w:val="0"/>
      <w:marRight w:val="0"/>
      <w:marTop w:val="0"/>
      <w:marBottom w:val="0"/>
      <w:divBdr>
        <w:top w:val="none" w:sz="0" w:space="0" w:color="auto"/>
        <w:left w:val="none" w:sz="0" w:space="0" w:color="auto"/>
        <w:bottom w:val="none" w:sz="0" w:space="0" w:color="auto"/>
        <w:right w:val="none" w:sz="0" w:space="0" w:color="auto"/>
      </w:divBdr>
    </w:div>
    <w:div w:id="827743313">
      <w:bodyDiv w:val="1"/>
      <w:marLeft w:val="0"/>
      <w:marRight w:val="0"/>
      <w:marTop w:val="0"/>
      <w:marBottom w:val="0"/>
      <w:divBdr>
        <w:top w:val="none" w:sz="0" w:space="0" w:color="auto"/>
        <w:left w:val="none" w:sz="0" w:space="0" w:color="auto"/>
        <w:bottom w:val="none" w:sz="0" w:space="0" w:color="auto"/>
        <w:right w:val="none" w:sz="0" w:space="0" w:color="auto"/>
      </w:divBdr>
    </w:div>
    <w:div w:id="872578718">
      <w:bodyDiv w:val="1"/>
      <w:marLeft w:val="0"/>
      <w:marRight w:val="0"/>
      <w:marTop w:val="0"/>
      <w:marBottom w:val="0"/>
      <w:divBdr>
        <w:top w:val="none" w:sz="0" w:space="0" w:color="auto"/>
        <w:left w:val="none" w:sz="0" w:space="0" w:color="auto"/>
        <w:bottom w:val="none" w:sz="0" w:space="0" w:color="auto"/>
        <w:right w:val="none" w:sz="0" w:space="0" w:color="auto"/>
      </w:divBdr>
    </w:div>
    <w:div w:id="881139845">
      <w:bodyDiv w:val="1"/>
      <w:marLeft w:val="0"/>
      <w:marRight w:val="0"/>
      <w:marTop w:val="0"/>
      <w:marBottom w:val="0"/>
      <w:divBdr>
        <w:top w:val="none" w:sz="0" w:space="0" w:color="auto"/>
        <w:left w:val="none" w:sz="0" w:space="0" w:color="auto"/>
        <w:bottom w:val="none" w:sz="0" w:space="0" w:color="auto"/>
        <w:right w:val="none" w:sz="0" w:space="0" w:color="auto"/>
      </w:divBdr>
    </w:div>
    <w:div w:id="900217702">
      <w:bodyDiv w:val="1"/>
      <w:marLeft w:val="0"/>
      <w:marRight w:val="0"/>
      <w:marTop w:val="0"/>
      <w:marBottom w:val="0"/>
      <w:divBdr>
        <w:top w:val="none" w:sz="0" w:space="0" w:color="auto"/>
        <w:left w:val="none" w:sz="0" w:space="0" w:color="auto"/>
        <w:bottom w:val="none" w:sz="0" w:space="0" w:color="auto"/>
        <w:right w:val="none" w:sz="0" w:space="0" w:color="auto"/>
      </w:divBdr>
    </w:div>
    <w:div w:id="939333434">
      <w:bodyDiv w:val="1"/>
      <w:marLeft w:val="0"/>
      <w:marRight w:val="0"/>
      <w:marTop w:val="0"/>
      <w:marBottom w:val="0"/>
      <w:divBdr>
        <w:top w:val="none" w:sz="0" w:space="0" w:color="auto"/>
        <w:left w:val="none" w:sz="0" w:space="0" w:color="auto"/>
        <w:bottom w:val="none" w:sz="0" w:space="0" w:color="auto"/>
        <w:right w:val="none" w:sz="0" w:space="0" w:color="auto"/>
      </w:divBdr>
    </w:div>
    <w:div w:id="941034763">
      <w:bodyDiv w:val="1"/>
      <w:marLeft w:val="0"/>
      <w:marRight w:val="0"/>
      <w:marTop w:val="0"/>
      <w:marBottom w:val="0"/>
      <w:divBdr>
        <w:top w:val="none" w:sz="0" w:space="0" w:color="auto"/>
        <w:left w:val="none" w:sz="0" w:space="0" w:color="auto"/>
        <w:bottom w:val="none" w:sz="0" w:space="0" w:color="auto"/>
        <w:right w:val="none" w:sz="0" w:space="0" w:color="auto"/>
      </w:divBdr>
    </w:div>
    <w:div w:id="949169072">
      <w:bodyDiv w:val="1"/>
      <w:marLeft w:val="0"/>
      <w:marRight w:val="0"/>
      <w:marTop w:val="0"/>
      <w:marBottom w:val="0"/>
      <w:divBdr>
        <w:top w:val="none" w:sz="0" w:space="0" w:color="auto"/>
        <w:left w:val="none" w:sz="0" w:space="0" w:color="auto"/>
        <w:bottom w:val="none" w:sz="0" w:space="0" w:color="auto"/>
        <w:right w:val="none" w:sz="0" w:space="0" w:color="auto"/>
      </w:divBdr>
    </w:div>
    <w:div w:id="974140126">
      <w:bodyDiv w:val="1"/>
      <w:marLeft w:val="0"/>
      <w:marRight w:val="0"/>
      <w:marTop w:val="0"/>
      <w:marBottom w:val="0"/>
      <w:divBdr>
        <w:top w:val="none" w:sz="0" w:space="0" w:color="auto"/>
        <w:left w:val="none" w:sz="0" w:space="0" w:color="auto"/>
        <w:bottom w:val="none" w:sz="0" w:space="0" w:color="auto"/>
        <w:right w:val="none" w:sz="0" w:space="0" w:color="auto"/>
      </w:divBdr>
    </w:div>
    <w:div w:id="996542944">
      <w:bodyDiv w:val="1"/>
      <w:marLeft w:val="0"/>
      <w:marRight w:val="0"/>
      <w:marTop w:val="0"/>
      <w:marBottom w:val="0"/>
      <w:divBdr>
        <w:top w:val="none" w:sz="0" w:space="0" w:color="auto"/>
        <w:left w:val="none" w:sz="0" w:space="0" w:color="auto"/>
        <w:bottom w:val="none" w:sz="0" w:space="0" w:color="auto"/>
        <w:right w:val="none" w:sz="0" w:space="0" w:color="auto"/>
      </w:divBdr>
    </w:div>
    <w:div w:id="1016276168">
      <w:bodyDiv w:val="1"/>
      <w:marLeft w:val="0"/>
      <w:marRight w:val="0"/>
      <w:marTop w:val="0"/>
      <w:marBottom w:val="0"/>
      <w:divBdr>
        <w:top w:val="none" w:sz="0" w:space="0" w:color="auto"/>
        <w:left w:val="none" w:sz="0" w:space="0" w:color="auto"/>
        <w:bottom w:val="none" w:sz="0" w:space="0" w:color="auto"/>
        <w:right w:val="none" w:sz="0" w:space="0" w:color="auto"/>
      </w:divBdr>
    </w:div>
    <w:div w:id="1020935798">
      <w:bodyDiv w:val="1"/>
      <w:marLeft w:val="0"/>
      <w:marRight w:val="0"/>
      <w:marTop w:val="0"/>
      <w:marBottom w:val="0"/>
      <w:divBdr>
        <w:top w:val="none" w:sz="0" w:space="0" w:color="auto"/>
        <w:left w:val="none" w:sz="0" w:space="0" w:color="auto"/>
        <w:bottom w:val="none" w:sz="0" w:space="0" w:color="auto"/>
        <w:right w:val="none" w:sz="0" w:space="0" w:color="auto"/>
      </w:divBdr>
    </w:div>
    <w:div w:id="1052537353">
      <w:bodyDiv w:val="1"/>
      <w:marLeft w:val="0"/>
      <w:marRight w:val="0"/>
      <w:marTop w:val="0"/>
      <w:marBottom w:val="0"/>
      <w:divBdr>
        <w:top w:val="none" w:sz="0" w:space="0" w:color="auto"/>
        <w:left w:val="none" w:sz="0" w:space="0" w:color="auto"/>
        <w:bottom w:val="none" w:sz="0" w:space="0" w:color="auto"/>
        <w:right w:val="none" w:sz="0" w:space="0" w:color="auto"/>
      </w:divBdr>
    </w:div>
    <w:div w:id="1106972504">
      <w:bodyDiv w:val="1"/>
      <w:marLeft w:val="0"/>
      <w:marRight w:val="0"/>
      <w:marTop w:val="0"/>
      <w:marBottom w:val="0"/>
      <w:divBdr>
        <w:top w:val="none" w:sz="0" w:space="0" w:color="auto"/>
        <w:left w:val="none" w:sz="0" w:space="0" w:color="auto"/>
        <w:bottom w:val="none" w:sz="0" w:space="0" w:color="auto"/>
        <w:right w:val="none" w:sz="0" w:space="0" w:color="auto"/>
      </w:divBdr>
    </w:div>
    <w:div w:id="1108699693">
      <w:bodyDiv w:val="1"/>
      <w:marLeft w:val="0"/>
      <w:marRight w:val="0"/>
      <w:marTop w:val="0"/>
      <w:marBottom w:val="0"/>
      <w:divBdr>
        <w:top w:val="none" w:sz="0" w:space="0" w:color="auto"/>
        <w:left w:val="none" w:sz="0" w:space="0" w:color="auto"/>
        <w:bottom w:val="none" w:sz="0" w:space="0" w:color="auto"/>
        <w:right w:val="none" w:sz="0" w:space="0" w:color="auto"/>
      </w:divBdr>
    </w:div>
    <w:div w:id="1136216079">
      <w:bodyDiv w:val="1"/>
      <w:marLeft w:val="0"/>
      <w:marRight w:val="0"/>
      <w:marTop w:val="0"/>
      <w:marBottom w:val="0"/>
      <w:divBdr>
        <w:top w:val="none" w:sz="0" w:space="0" w:color="auto"/>
        <w:left w:val="none" w:sz="0" w:space="0" w:color="auto"/>
        <w:bottom w:val="none" w:sz="0" w:space="0" w:color="auto"/>
        <w:right w:val="none" w:sz="0" w:space="0" w:color="auto"/>
      </w:divBdr>
    </w:div>
    <w:div w:id="1136987750">
      <w:bodyDiv w:val="1"/>
      <w:marLeft w:val="0"/>
      <w:marRight w:val="0"/>
      <w:marTop w:val="0"/>
      <w:marBottom w:val="0"/>
      <w:divBdr>
        <w:top w:val="none" w:sz="0" w:space="0" w:color="auto"/>
        <w:left w:val="none" w:sz="0" w:space="0" w:color="auto"/>
        <w:bottom w:val="none" w:sz="0" w:space="0" w:color="auto"/>
        <w:right w:val="none" w:sz="0" w:space="0" w:color="auto"/>
      </w:divBdr>
    </w:div>
    <w:div w:id="1142386416">
      <w:bodyDiv w:val="1"/>
      <w:marLeft w:val="0"/>
      <w:marRight w:val="0"/>
      <w:marTop w:val="0"/>
      <w:marBottom w:val="0"/>
      <w:divBdr>
        <w:top w:val="none" w:sz="0" w:space="0" w:color="auto"/>
        <w:left w:val="none" w:sz="0" w:space="0" w:color="auto"/>
        <w:bottom w:val="none" w:sz="0" w:space="0" w:color="auto"/>
        <w:right w:val="none" w:sz="0" w:space="0" w:color="auto"/>
      </w:divBdr>
    </w:div>
    <w:div w:id="1148395379">
      <w:bodyDiv w:val="1"/>
      <w:marLeft w:val="0"/>
      <w:marRight w:val="0"/>
      <w:marTop w:val="0"/>
      <w:marBottom w:val="0"/>
      <w:divBdr>
        <w:top w:val="none" w:sz="0" w:space="0" w:color="auto"/>
        <w:left w:val="none" w:sz="0" w:space="0" w:color="auto"/>
        <w:bottom w:val="none" w:sz="0" w:space="0" w:color="auto"/>
        <w:right w:val="none" w:sz="0" w:space="0" w:color="auto"/>
      </w:divBdr>
    </w:div>
    <w:div w:id="1159273464">
      <w:bodyDiv w:val="1"/>
      <w:marLeft w:val="0"/>
      <w:marRight w:val="0"/>
      <w:marTop w:val="0"/>
      <w:marBottom w:val="0"/>
      <w:divBdr>
        <w:top w:val="none" w:sz="0" w:space="0" w:color="auto"/>
        <w:left w:val="none" w:sz="0" w:space="0" w:color="auto"/>
        <w:bottom w:val="none" w:sz="0" w:space="0" w:color="auto"/>
        <w:right w:val="none" w:sz="0" w:space="0" w:color="auto"/>
      </w:divBdr>
    </w:div>
    <w:div w:id="1189368000">
      <w:bodyDiv w:val="1"/>
      <w:marLeft w:val="0"/>
      <w:marRight w:val="0"/>
      <w:marTop w:val="0"/>
      <w:marBottom w:val="0"/>
      <w:divBdr>
        <w:top w:val="none" w:sz="0" w:space="0" w:color="auto"/>
        <w:left w:val="none" w:sz="0" w:space="0" w:color="auto"/>
        <w:bottom w:val="none" w:sz="0" w:space="0" w:color="auto"/>
        <w:right w:val="none" w:sz="0" w:space="0" w:color="auto"/>
      </w:divBdr>
    </w:div>
    <w:div w:id="1282147441">
      <w:bodyDiv w:val="1"/>
      <w:marLeft w:val="0"/>
      <w:marRight w:val="0"/>
      <w:marTop w:val="0"/>
      <w:marBottom w:val="0"/>
      <w:divBdr>
        <w:top w:val="none" w:sz="0" w:space="0" w:color="auto"/>
        <w:left w:val="none" w:sz="0" w:space="0" w:color="auto"/>
        <w:bottom w:val="none" w:sz="0" w:space="0" w:color="auto"/>
        <w:right w:val="none" w:sz="0" w:space="0" w:color="auto"/>
      </w:divBdr>
    </w:div>
    <w:div w:id="1312444098">
      <w:bodyDiv w:val="1"/>
      <w:marLeft w:val="0"/>
      <w:marRight w:val="0"/>
      <w:marTop w:val="0"/>
      <w:marBottom w:val="0"/>
      <w:divBdr>
        <w:top w:val="none" w:sz="0" w:space="0" w:color="auto"/>
        <w:left w:val="none" w:sz="0" w:space="0" w:color="auto"/>
        <w:bottom w:val="none" w:sz="0" w:space="0" w:color="auto"/>
        <w:right w:val="none" w:sz="0" w:space="0" w:color="auto"/>
      </w:divBdr>
    </w:div>
    <w:div w:id="1321273533">
      <w:bodyDiv w:val="1"/>
      <w:marLeft w:val="0"/>
      <w:marRight w:val="0"/>
      <w:marTop w:val="0"/>
      <w:marBottom w:val="0"/>
      <w:divBdr>
        <w:top w:val="none" w:sz="0" w:space="0" w:color="auto"/>
        <w:left w:val="none" w:sz="0" w:space="0" w:color="auto"/>
        <w:bottom w:val="none" w:sz="0" w:space="0" w:color="auto"/>
        <w:right w:val="none" w:sz="0" w:space="0" w:color="auto"/>
      </w:divBdr>
    </w:div>
    <w:div w:id="1334144899">
      <w:bodyDiv w:val="1"/>
      <w:marLeft w:val="0"/>
      <w:marRight w:val="0"/>
      <w:marTop w:val="0"/>
      <w:marBottom w:val="0"/>
      <w:divBdr>
        <w:top w:val="none" w:sz="0" w:space="0" w:color="auto"/>
        <w:left w:val="none" w:sz="0" w:space="0" w:color="auto"/>
        <w:bottom w:val="none" w:sz="0" w:space="0" w:color="auto"/>
        <w:right w:val="none" w:sz="0" w:space="0" w:color="auto"/>
      </w:divBdr>
    </w:div>
    <w:div w:id="1339190418">
      <w:bodyDiv w:val="1"/>
      <w:marLeft w:val="0"/>
      <w:marRight w:val="0"/>
      <w:marTop w:val="0"/>
      <w:marBottom w:val="0"/>
      <w:divBdr>
        <w:top w:val="none" w:sz="0" w:space="0" w:color="auto"/>
        <w:left w:val="none" w:sz="0" w:space="0" w:color="auto"/>
        <w:bottom w:val="none" w:sz="0" w:space="0" w:color="auto"/>
        <w:right w:val="none" w:sz="0" w:space="0" w:color="auto"/>
      </w:divBdr>
    </w:div>
    <w:div w:id="1363900982">
      <w:bodyDiv w:val="1"/>
      <w:marLeft w:val="0"/>
      <w:marRight w:val="0"/>
      <w:marTop w:val="0"/>
      <w:marBottom w:val="0"/>
      <w:divBdr>
        <w:top w:val="none" w:sz="0" w:space="0" w:color="auto"/>
        <w:left w:val="none" w:sz="0" w:space="0" w:color="auto"/>
        <w:bottom w:val="none" w:sz="0" w:space="0" w:color="auto"/>
        <w:right w:val="none" w:sz="0" w:space="0" w:color="auto"/>
      </w:divBdr>
    </w:div>
    <w:div w:id="1386759596">
      <w:bodyDiv w:val="1"/>
      <w:marLeft w:val="0"/>
      <w:marRight w:val="0"/>
      <w:marTop w:val="0"/>
      <w:marBottom w:val="0"/>
      <w:divBdr>
        <w:top w:val="none" w:sz="0" w:space="0" w:color="auto"/>
        <w:left w:val="none" w:sz="0" w:space="0" w:color="auto"/>
        <w:bottom w:val="none" w:sz="0" w:space="0" w:color="auto"/>
        <w:right w:val="none" w:sz="0" w:space="0" w:color="auto"/>
      </w:divBdr>
    </w:div>
    <w:div w:id="1440292642">
      <w:bodyDiv w:val="1"/>
      <w:marLeft w:val="0"/>
      <w:marRight w:val="0"/>
      <w:marTop w:val="0"/>
      <w:marBottom w:val="0"/>
      <w:divBdr>
        <w:top w:val="none" w:sz="0" w:space="0" w:color="auto"/>
        <w:left w:val="none" w:sz="0" w:space="0" w:color="auto"/>
        <w:bottom w:val="none" w:sz="0" w:space="0" w:color="auto"/>
        <w:right w:val="none" w:sz="0" w:space="0" w:color="auto"/>
      </w:divBdr>
    </w:div>
    <w:div w:id="1472595217">
      <w:bodyDiv w:val="1"/>
      <w:marLeft w:val="0"/>
      <w:marRight w:val="0"/>
      <w:marTop w:val="0"/>
      <w:marBottom w:val="0"/>
      <w:divBdr>
        <w:top w:val="none" w:sz="0" w:space="0" w:color="auto"/>
        <w:left w:val="none" w:sz="0" w:space="0" w:color="auto"/>
        <w:bottom w:val="none" w:sz="0" w:space="0" w:color="auto"/>
        <w:right w:val="none" w:sz="0" w:space="0" w:color="auto"/>
      </w:divBdr>
    </w:div>
    <w:div w:id="1524174859">
      <w:bodyDiv w:val="1"/>
      <w:marLeft w:val="0"/>
      <w:marRight w:val="0"/>
      <w:marTop w:val="0"/>
      <w:marBottom w:val="0"/>
      <w:divBdr>
        <w:top w:val="none" w:sz="0" w:space="0" w:color="auto"/>
        <w:left w:val="none" w:sz="0" w:space="0" w:color="auto"/>
        <w:bottom w:val="none" w:sz="0" w:space="0" w:color="auto"/>
        <w:right w:val="none" w:sz="0" w:space="0" w:color="auto"/>
      </w:divBdr>
    </w:div>
    <w:div w:id="1531265439">
      <w:bodyDiv w:val="1"/>
      <w:marLeft w:val="0"/>
      <w:marRight w:val="0"/>
      <w:marTop w:val="0"/>
      <w:marBottom w:val="0"/>
      <w:divBdr>
        <w:top w:val="none" w:sz="0" w:space="0" w:color="auto"/>
        <w:left w:val="none" w:sz="0" w:space="0" w:color="auto"/>
        <w:bottom w:val="none" w:sz="0" w:space="0" w:color="auto"/>
        <w:right w:val="none" w:sz="0" w:space="0" w:color="auto"/>
      </w:divBdr>
    </w:div>
    <w:div w:id="1563367370">
      <w:bodyDiv w:val="1"/>
      <w:marLeft w:val="0"/>
      <w:marRight w:val="0"/>
      <w:marTop w:val="0"/>
      <w:marBottom w:val="0"/>
      <w:divBdr>
        <w:top w:val="none" w:sz="0" w:space="0" w:color="auto"/>
        <w:left w:val="none" w:sz="0" w:space="0" w:color="auto"/>
        <w:bottom w:val="none" w:sz="0" w:space="0" w:color="auto"/>
        <w:right w:val="none" w:sz="0" w:space="0" w:color="auto"/>
      </w:divBdr>
    </w:div>
    <w:div w:id="1583678199">
      <w:bodyDiv w:val="1"/>
      <w:marLeft w:val="0"/>
      <w:marRight w:val="0"/>
      <w:marTop w:val="0"/>
      <w:marBottom w:val="0"/>
      <w:divBdr>
        <w:top w:val="none" w:sz="0" w:space="0" w:color="auto"/>
        <w:left w:val="none" w:sz="0" w:space="0" w:color="auto"/>
        <w:bottom w:val="none" w:sz="0" w:space="0" w:color="auto"/>
        <w:right w:val="none" w:sz="0" w:space="0" w:color="auto"/>
      </w:divBdr>
    </w:div>
    <w:div w:id="1585844263">
      <w:bodyDiv w:val="1"/>
      <w:marLeft w:val="0"/>
      <w:marRight w:val="0"/>
      <w:marTop w:val="0"/>
      <w:marBottom w:val="0"/>
      <w:divBdr>
        <w:top w:val="none" w:sz="0" w:space="0" w:color="auto"/>
        <w:left w:val="none" w:sz="0" w:space="0" w:color="auto"/>
        <w:bottom w:val="none" w:sz="0" w:space="0" w:color="auto"/>
        <w:right w:val="none" w:sz="0" w:space="0" w:color="auto"/>
      </w:divBdr>
    </w:div>
    <w:div w:id="1655375459">
      <w:bodyDiv w:val="1"/>
      <w:marLeft w:val="0"/>
      <w:marRight w:val="0"/>
      <w:marTop w:val="0"/>
      <w:marBottom w:val="0"/>
      <w:divBdr>
        <w:top w:val="none" w:sz="0" w:space="0" w:color="auto"/>
        <w:left w:val="none" w:sz="0" w:space="0" w:color="auto"/>
        <w:bottom w:val="none" w:sz="0" w:space="0" w:color="auto"/>
        <w:right w:val="none" w:sz="0" w:space="0" w:color="auto"/>
      </w:divBdr>
    </w:div>
    <w:div w:id="1658067863">
      <w:bodyDiv w:val="1"/>
      <w:marLeft w:val="0"/>
      <w:marRight w:val="0"/>
      <w:marTop w:val="0"/>
      <w:marBottom w:val="0"/>
      <w:divBdr>
        <w:top w:val="none" w:sz="0" w:space="0" w:color="auto"/>
        <w:left w:val="none" w:sz="0" w:space="0" w:color="auto"/>
        <w:bottom w:val="none" w:sz="0" w:space="0" w:color="auto"/>
        <w:right w:val="none" w:sz="0" w:space="0" w:color="auto"/>
      </w:divBdr>
    </w:div>
    <w:div w:id="1717704746">
      <w:bodyDiv w:val="1"/>
      <w:marLeft w:val="0"/>
      <w:marRight w:val="0"/>
      <w:marTop w:val="0"/>
      <w:marBottom w:val="0"/>
      <w:divBdr>
        <w:top w:val="none" w:sz="0" w:space="0" w:color="auto"/>
        <w:left w:val="none" w:sz="0" w:space="0" w:color="auto"/>
        <w:bottom w:val="none" w:sz="0" w:space="0" w:color="auto"/>
        <w:right w:val="none" w:sz="0" w:space="0" w:color="auto"/>
      </w:divBdr>
    </w:div>
    <w:div w:id="1740012548">
      <w:bodyDiv w:val="1"/>
      <w:marLeft w:val="0"/>
      <w:marRight w:val="0"/>
      <w:marTop w:val="0"/>
      <w:marBottom w:val="0"/>
      <w:divBdr>
        <w:top w:val="none" w:sz="0" w:space="0" w:color="auto"/>
        <w:left w:val="none" w:sz="0" w:space="0" w:color="auto"/>
        <w:bottom w:val="none" w:sz="0" w:space="0" w:color="auto"/>
        <w:right w:val="none" w:sz="0" w:space="0" w:color="auto"/>
      </w:divBdr>
    </w:div>
    <w:div w:id="1741294595">
      <w:bodyDiv w:val="1"/>
      <w:marLeft w:val="0"/>
      <w:marRight w:val="0"/>
      <w:marTop w:val="0"/>
      <w:marBottom w:val="0"/>
      <w:divBdr>
        <w:top w:val="none" w:sz="0" w:space="0" w:color="auto"/>
        <w:left w:val="none" w:sz="0" w:space="0" w:color="auto"/>
        <w:bottom w:val="none" w:sz="0" w:space="0" w:color="auto"/>
        <w:right w:val="none" w:sz="0" w:space="0" w:color="auto"/>
      </w:divBdr>
    </w:div>
    <w:div w:id="1758096691">
      <w:bodyDiv w:val="1"/>
      <w:marLeft w:val="0"/>
      <w:marRight w:val="0"/>
      <w:marTop w:val="0"/>
      <w:marBottom w:val="0"/>
      <w:divBdr>
        <w:top w:val="none" w:sz="0" w:space="0" w:color="auto"/>
        <w:left w:val="none" w:sz="0" w:space="0" w:color="auto"/>
        <w:bottom w:val="none" w:sz="0" w:space="0" w:color="auto"/>
        <w:right w:val="none" w:sz="0" w:space="0" w:color="auto"/>
      </w:divBdr>
    </w:div>
    <w:div w:id="1760373890">
      <w:bodyDiv w:val="1"/>
      <w:marLeft w:val="0"/>
      <w:marRight w:val="0"/>
      <w:marTop w:val="0"/>
      <w:marBottom w:val="0"/>
      <w:divBdr>
        <w:top w:val="none" w:sz="0" w:space="0" w:color="auto"/>
        <w:left w:val="none" w:sz="0" w:space="0" w:color="auto"/>
        <w:bottom w:val="none" w:sz="0" w:space="0" w:color="auto"/>
        <w:right w:val="none" w:sz="0" w:space="0" w:color="auto"/>
      </w:divBdr>
    </w:div>
    <w:div w:id="1775511137">
      <w:bodyDiv w:val="1"/>
      <w:marLeft w:val="0"/>
      <w:marRight w:val="0"/>
      <w:marTop w:val="0"/>
      <w:marBottom w:val="0"/>
      <w:divBdr>
        <w:top w:val="none" w:sz="0" w:space="0" w:color="auto"/>
        <w:left w:val="none" w:sz="0" w:space="0" w:color="auto"/>
        <w:bottom w:val="none" w:sz="0" w:space="0" w:color="auto"/>
        <w:right w:val="none" w:sz="0" w:space="0" w:color="auto"/>
      </w:divBdr>
    </w:div>
    <w:div w:id="1785614849">
      <w:bodyDiv w:val="1"/>
      <w:marLeft w:val="0"/>
      <w:marRight w:val="0"/>
      <w:marTop w:val="0"/>
      <w:marBottom w:val="0"/>
      <w:divBdr>
        <w:top w:val="none" w:sz="0" w:space="0" w:color="auto"/>
        <w:left w:val="none" w:sz="0" w:space="0" w:color="auto"/>
        <w:bottom w:val="none" w:sz="0" w:space="0" w:color="auto"/>
        <w:right w:val="none" w:sz="0" w:space="0" w:color="auto"/>
      </w:divBdr>
    </w:div>
    <w:div w:id="1820881551">
      <w:bodyDiv w:val="1"/>
      <w:marLeft w:val="0"/>
      <w:marRight w:val="0"/>
      <w:marTop w:val="0"/>
      <w:marBottom w:val="0"/>
      <w:divBdr>
        <w:top w:val="none" w:sz="0" w:space="0" w:color="auto"/>
        <w:left w:val="none" w:sz="0" w:space="0" w:color="auto"/>
        <w:bottom w:val="none" w:sz="0" w:space="0" w:color="auto"/>
        <w:right w:val="none" w:sz="0" w:space="0" w:color="auto"/>
      </w:divBdr>
    </w:div>
    <w:div w:id="1839811390">
      <w:bodyDiv w:val="1"/>
      <w:marLeft w:val="0"/>
      <w:marRight w:val="0"/>
      <w:marTop w:val="0"/>
      <w:marBottom w:val="0"/>
      <w:divBdr>
        <w:top w:val="none" w:sz="0" w:space="0" w:color="auto"/>
        <w:left w:val="none" w:sz="0" w:space="0" w:color="auto"/>
        <w:bottom w:val="none" w:sz="0" w:space="0" w:color="auto"/>
        <w:right w:val="none" w:sz="0" w:space="0" w:color="auto"/>
      </w:divBdr>
    </w:div>
    <w:div w:id="1843466876">
      <w:bodyDiv w:val="1"/>
      <w:marLeft w:val="0"/>
      <w:marRight w:val="0"/>
      <w:marTop w:val="0"/>
      <w:marBottom w:val="0"/>
      <w:divBdr>
        <w:top w:val="none" w:sz="0" w:space="0" w:color="auto"/>
        <w:left w:val="none" w:sz="0" w:space="0" w:color="auto"/>
        <w:bottom w:val="none" w:sz="0" w:space="0" w:color="auto"/>
        <w:right w:val="none" w:sz="0" w:space="0" w:color="auto"/>
      </w:divBdr>
    </w:div>
    <w:div w:id="1854342763">
      <w:bodyDiv w:val="1"/>
      <w:marLeft w:val="0"/>
      <w:marRight w:val="0"/>
      <w:marTop w:val="0"/>
      <w:marBottom w:val="0"/>
      <w:divBdr>
        <w:top w:val="none" w:sz="0" w:space="0" w:color="auto"/>
        <w:left w:val="none" w:sz="0" w:space="0" w:color="auto"/>
        <w:bottom w:val="none" w:sz="0" w:space="0" w:color="auto"/>
        <w:right w:val="none" w:sz="0" w:space="0" w:color="auto"/>
      </w:divBdr>
    </w:div>
    <w:div w:id="1876383023">
      <w:bodyDiv w:val="1"/>
      <w:marLeft w:val="0"/>
      <w:marRight w:val="0"/>
      <w:marTop w:val="0"/>
      <w:marBottom w:val="0"/>
      <w:divBdr>
        <w:top w:val="none" w:sz="0" w:space="0" w:color="auto"/>
        <w:left w:val="none" w:sz="0" w:space="0" w:color="auto"/>
        <w:bottom w:val="none" w:sz="0" w:space="0" w:color="auto"/>
        <w:right w:val="none" w:sz="0" w:space="0" w:color="auto"/>
      </w:divBdr>
    </w:div>
    <w:div w:id="1883516660">
      <w:bodyDiv w:val="1"/>
      <w:marLeft w:val="0"/>
      <w:marRight w:val="0"/>
      <w:marTop w:val="0"/>
      <w:marBottom w:val="0"/>
      <w:divBdr>
        <w:top w:val="none" w:sz="0" w:space="0" w:color="auto"/>
        <w:left w:val="none" w:sz="0" w:space="0" w:color="auto"/>
        <w:bottom w:val="none" w:sz="0" w:space="0" w:color="auto"/>
        <w:right w:val="none" w:sz="0" w:space="0" w:color="auto"/>
      </w:divBdr>
    </w:div>
    <w:div w:id="1906529037">
      <w:bodyDiv w:val="1"/>
      <w:marLeft w:val="0"/>
      <w:marRight w:val="0"/>
      <w:marTop w:val="0"/>
      <w:marBottom w:val="0"/>
      <w:divBdr>
        <w:top w:val="none" w:sz="0" w:space="0" w:color="auto"/>
        <w:left w:val="none" w:sz="0" w:space="0" w:color="auto"/>
        <w:bottom w:val="none" w:sz="0" w:space="0" w:color="auto"/>
        <w:right w:val="none" w:sz="0" w:space="0" w:color="auto"/>
      </w:divBdr>
    </w:div>
    <w:div w:id="1909461181">
      <w:bodyDiv w:val="1"/>
      <w:marLeft w:val="0"/>
      <w:marRight w:val="0"/>
      <w:marTop w:val="0"/>
      <w:marBottom w:val="0"/>
      <w:divBdr>
        <w:top w:val="none" w:sz="0" w:space="0" w:color="auto"/>
        <w:left w:val="none" w:sz="0" w:space="0" w:color="auto"/>
        <w:bottom w:val="none" w:sz="0" w:space="0" w:color="auto"/>
        <w:right w:val="none" w:sz="0" w:space="0" w:color="auto"/>
      </w:divBdr>
    </w:div>
    <w:div w:id="1912959498">
      <w:bodyDiv w:val="1"/>
      <w:marLeft w:val="0"/>
      <w:marRight w:val="0"/>
      <w:marTop w:val="0"/>
      <w:marBottom w:val="0"/>
      <w:divBdr>
        <w:top w:val="none" w:sz="0" w:space="0" w:color="auto"/>
        <w:left w:val="none" w:sz="0" w:space="0" w:color="auto"/>
        <w:bottom w:val="none" w:sz="0" w:space="0" w:color="auto"/>
        <w:right w:val="none" w:sz="0" w:space="0" w:color="auto"/>
      </w:divBdr>
    </w:div>
    <w:div w:id="1918439238">
      <w:bodyDiv w:val="1"/>
      <w:marLeft w:val="0"/>
      <w:marRight w:val="0"/>
      <w:marTop w:val="0"/>
      <w:marBottom w:val="0"/>
      <w:divBdr>
        <w:top w:val="none" w:sz="0" w:space="0" w:color="auto"/>
        <w:left w:val="none" w:sz="0" w:space="0" w:color="auto"/>
        <w:bottom w:val="none" w:sz="0" w:space="0" w:color="auto"/>
        <w:right w:val="none" w:sz="0" w:space="0" w:color="auto"/>
      </w:divBdr>
    </w:div>
    <w:div w:id="1940798329">
      <w:bodyDiv w:val="1"/>
      <w:marLeft w:val="0"/>
      <w:marRight w:val="0"/>
      <w:marTop w:val="0"/>
      <w:marBottom w:val="0"/>
      <w:divBdr>
        <w:top w:val="none" w:sz="0" w:space="0" w:color="auto"/>
        <w:left w:val="none" w:sz="0" w:space="0" w:color="auto"/>
        <w:bottom w:val="none" w:sz="0" w:space="0" w:color="auto"/>
        <w:right w:val="none" w:sz="0" w:space="0" w:color="auto"/>
      </w:divBdr>
    </w:div>
    <w:div w:id="2024701744">
      <w:bodyDiv w:val="1"/>
      <w:marLeft w:val="0"/>
      <w:marRight w:val="0"/>
      <w:marTop w:val="0"/>
      <w:marBottom w:val="0"/>
      <w:divBdr>
        <w:top w:val="none" w:sz="0" w:space="0" w:color="auto"/>
        <w:left w:val="none" w:sz="0" w:space="0" w:color="auto"/>
        <w:bottom w:val="none" w:sz="0" w:space="0" w:color="auto"/>
        <w:right w:val="none" w:sz="0" w:space="0" w:color="auto"/>
      </w:divBdr>
    </w:div>
    <w:div w:id="2037190647">
      <w:bodyDiv w:val="1"/>
      <w:marLeft w:val="0"/>
      <w:marRight w:val="0"/>
      <w:marTop w:val="0"/>
      <w:marBottom w:val="0"/>
      <w:divBdr>
        <w:top w:val="none" w:sz="0" w:space="0" w:color="auto"/>
        <w:left w:val="none" w:sz="0" w:space="0" w:color="auto"/>
        <w:bottom w:val="none" w:sz="0" w:space="0" w:color="auto"/>
        <w:right w:val="none" w:sz="0" w:space="0" w:color="auto"/>
      </w:divBdr>
    </w:div>
    <w:div w:id="2044281155">
      <w:bodyDiv w:val="1"/>
      <w:marLeft w:val="0"/>
      <w:marRight w:val="0"/>
      <w:marTop w:val="0"/>
      <w:marBottom w:val="0"/>
      <w:divBdr>
        <w:top w:val="none" w:sz="0" w:space="0" w:color="auto"/>
        <w:left w:val="none" w:sz="0" w:space="0" w:color="auto"/>
        <w:bottom w:val="none" w:sz="0" w:space="0" w:color="auto"/>
        <w:right w:val="none" w:sz="0" w:space="0" w:color="auto"/>
      </w:divBdr>
    </w:div>
    <w:div w:id="2062054605">
      <w:bodyDiv w:val="1"/>
      <w:marLeft w:val="0"/>
      <w:marRight w:val="0"/>
      <w:marTop w:val="0"/>
      <w:marBottom w:val="0"/>
      <w:divBdr>
        <w:top w:val="none" w:sz="0" w:space="0" w:color="auto"/>
        <w:left w:val="none" w:sz="0" w:space="0" w:color="auto"/>
        <w:bottom w:val="none" w:sz="0" w:space="0" w:color="auto"/>
        <w:right w:val="none" w:sz="0" w:space="0" w:color="auto"/>
      </w:divBdr>
    </w:div>
    <w:div w:id="2063167138">
      <w:bodyDiv w:val="1"/>
      <w:marLeft w:val="0"/>
      <w:marRight w:val="0"/>
      <w:marTop w:val="0"/>
      <w:marBottom w:val="0"/>
      <w:divBdr>
        <w:top w:val="none" w:sz="0" w:space="0" w:color="auto"/>
        <w:left w:val="none" w:sz="0" w:space="0" w:color="auto"/>
        <w:bottom w:val="none" w:sz="0" w:space="0" w:color="auto"/>
        <w:right w:val="none" w:sz="0" w:space="0" w:color="auto"/>
      </w:divBdr>
    </w:div>
    <w:div w:id="2067482696">
      <w:bodyDiv w:val="1"/>
      <w:marLeft w:val="0"/>
      <w:marRight w:val="0"/>
      <w:marTop w:val="0"/>
      <w:marBottom w:val="0"/>
      <w:divBdr>
        <w:top w:val="none" w:sz="0" w:space="0" w:color="auto"/>
        <w:left w:val="none" w:sz="0" w:space="0" w:color="auto"/>
        <w:bottom w:val="none" w:sz="0" w:space="0" w:color="auto"/>
        <w:right w:val="none" w:sz="0" w:space="0" w:color="auto"/>
      </w:divBdr>
    </w:div>
    <w:div w:id="2073042284">
      <w:bodyDiv w:val="1"/>
      <w:marLeft w:val="0"/>
      <w:marRight w:val="0"/>
      <w:marTop w:val="0"/>
      <w:marBottom w:val="0"/>
      <w:divBdr>
        <w:top w:val="none" w:sz="0" w:space="0" w:color="auto"/>
        <w:left w:val="none" w:sz="0" w:space="0" w:color="auto"/>
        <w:bottom w:val="none" w:sz="0" w:space="0" w:color="auto"/>
        <w:right w:val="none" w:sz="0" w:space="0" w:color="auto"/>
      </w:divBdr>
    </w:div>
    <w:div w:id="2073695600">
      <w:bodyDiv w:val="1"/>
      <w:marLeft w:val="0"/>
      <w:marRight w:val="0"/>
      <w:marTop w:val="0"/>
      <w:marBottom w:val="0"/>
      <w:divBdr>
        <w:top w:val="none" w:sz="0" w:space="0" w:color="auto"/>
        <w:left w:val="none" w:sz="0" w:space="0" w:color="auto"/>
        <w:bottom w:val="none" w:sz="0" w:space="0" w:color="auto"/>
        <w:right w:val="none" w:sz="0" w:space="0" w:color="auto"/>
      </w:divBdr>
    </w:div>
    <w:div w:id="2078235908">
      <w:bodyDiv w:val="1"/>
      <w:marLeft w:val="0"/>
      <w:marRight w:val="0"/>
      <w:marTop w:val="0"/>
      <w:marBottom w:val="0"/>
      <w:divBdr>
        <w:top w:val="none" w:sz="0" w:space="0" w:color="auto"/>
        <w:left w:val="none" w:sz="0" w:space="0" w:color="auto"/>
        <w:bottom w:val="none" w:sz="0" w:space="0" w:color="auto"/>
        <w:right w:val="none" w:sz="0" w:space="0" w:color="auto"/>
      </w:divBdr>
    </w:div>
    <w:div w:id="2087068377">
      <w:bodyDiv w:val="1"/>
      <w:marLeft w:val="0"/>
      <w:marRight w:val="0"/>
      <w:marTop w:val="0"/>
      <w:marBottom w:val="0"/>
      <w:divBdr>
        <w:top w:val="none" w:sz="0" w:space="0" w:color="auto"/>
        <w:left w:val="none" w:sz="0" w:space="0" w:color="auto"/>
        <w:bottom w:val="none" w:sz="0" w:space="0" w:color="auto"/>
        <w:right w:val="none" w:sz="0" w:space="0" w:color="auto"/>
      </w:divBdr>
    </w:div>
    <w:div w:id="2100712936">
      <w:bodyDiv w:val="1"/>
      <w:marLeft w:val="0"/>
      <w:marRight w:val="0"/>
      <w:marTop w:val="0"/>
      <w:marBottom w:val="0"/>
      <w:divBdr>
        <w:top w:val="none" w:sz="0" w:space="0" w:color="auto"/>
        <w:left w:val="none" w:sz="0" w:space="0" w:color="auto"/>
        <w:bottom w:val="none" w:sz="0" w:space="0" w:color="auto"/>
        <w:right w:val="none" w:sz="0" w:space="0" w:color="auto"/>
      </w:divBdr>
    </w:div>
    <w:div w:id="213786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Important%20Documents\&#25237;&#36830;\&#25237;&#36830;&#36134;&#21153;\&#25237;&#36830;&#36134;&#21153;\&#25237;&#36830;&#25253;&#21578;\2016&#24180;&#25237;&#36830;&#25253;&#21578;&#27719;&#24635;\2016&#24180;&#36134;&#25143;&#20449;&#24687;&#20844;&#21578;&#65288;&#21322;&#24180;&#24230;&#65289;\2016&#24180;&#21322;&#24180;&#24230;&#25237;&#36830;&#20020;&#26102;&#20449;&#24687;&#25259;&#38706;-&#24213;&#312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8.3545165169141053E-2"/>
          <c:y val="8.9059244952871527E-2"/>
          <c:w val="0.74923072520487999"/>
          <c:h val="0.6744937428896477"/>
        </c:manualLayout>
      </c:layout>
      <c:lineChart>
        <c:grouping val="standard"/>
        <c:ser>
          <c:idx val="1"/>
          <c:order val="1"/>
          <c:cat>
            <c:multiLvlStrRef>
              <c:f>'201506保守'!$C$51:$C$55</c:f>
            </c:multiLvlStrRef>
          </c:cat>
          <c:val>
            <c:numRef>
              <c:f>'201506保守'!$D$51:$D$55</c:f>
            </c:numRef>
          </c:val>
        </c:ser>
        <c:ser>
          <c:idx val="2"/>
          <c:order val="2"/>
          <c:cat>
            <c:multiLvlStrRef>
              <c:f>'[2016年半年度国华1号稳健型账户信息公告-临时信息披露.xlsx]Sheet1'!$A$4:$A$7</c:f>
            </c:multiLvlStrRef>
          </c:cat>
          <c:val>
            <c:numRef>
              <c:f>'[2016年半年度国华1号稳健型账户信息公告-临时信息披露.xlsx]Sheet1'!$B$4:$B$7</c:f>
            </c:numRef>
          </c:val>
        </c:ser>
        <c:ser>
          <c:idx val="3"/>
          <c:order val="3"/>
          <c:cat>
            <c:multiLvlStrRef>
              <c:f>'[2016年半年度国华1号保守型账户信息公告-临时信息披露.xlsx]国华1号稳健'!$B$11:$B$14</c:f>
            </c:multiLvlStrRef>
          </c:cat>
          <c:val>
            <c:numRef>
              <c:f>'[2016年半年度国华1号保守型账户信息公告-临时信息披露.xlsx]国华1号稳健'!$C$11:$C$14</c:f>
            </c:numRef>
          </c:val>
        </c:ser>
        <c:ser>
          <c:idx val="4"/>
          <c:order val="4"/>
          <c:cat>
            <c:multiLvlStrRef>
              <c:f>'[2016年半年度投连临时信息披露-底稿.xlsx]国华1号稳健'!$B$41:$B$44</c:f>
            </c:multiLvlStrRef>
          </c:cat>
          <c:val>
            <c:numRef>
              <c:f>'[2016年半年度投连临时信息披露-底稿.xlsx]国华1号稳健'!$C$41:$C$44</c:f>
            </c:numRef>
          </c:val>
        </c:ser>
        <c:ser>
          <c:idx val="0"/>
          <c:order val="0"/>
          <c:cat>
            <c:numRef>
              <c:f>'[2016年半年度投连临时信息披露-底稿.xlsx]国华1号稳健'!$B$41:$B$44</c:f>
              <c:numCache>
                <c:formatCode>yyyy/m/d</c:formatCode>
                <c:ptCount val="4"/>
                <c:pt idx="0">
                  <c:v>42320</c:v>
                </c:pt>
                <c:pt idx="1">
                  <c:v>42369</c:v>
                </c:pt>
                <c:pt idx="2">
                  <c:v>42460</c:v>
                </c:pt>
                <c:pt idx="3">
                  <c:v>42551</c:v>
                </c:pt>
              </c:numCache>
            </c:numRef>
          </c:cat>
          <c:val>
            <c:numRef>
              <c:f>'[2016年半年度投连临时信息披露-底稿.xlsx]国华1号稳健'!$C$41:$C$44</c:f>
              <c:numCache>
                <c:formatCode>General</c:formatCode>
                <c:ptCount val="4"/>
                <c:pt idx="0">
                  <c:v>1</c:v>
                </c:pt>
                <c:pt idx="1">
                  <c:v>1.0077176699999999</c:v>
                </c:pt>
                <c:pt idx="2">
                  <c:v>1.02125986</c:v>
                </c:pt>
                <c:pt idx="3">
                  <c:v>1.03498402</c:v>
                </c:pt>
              </c:numCache>
            </c:numRef>
          </c:val>
        </c:ser>
        <c:marker val="1"/>
        <c:axId val="116810880"/>
        <c:axId val="116812416"/>
      </c:lineChart>
      <c:catAx>
        <c:axId val="116810880"/>
        <c:scaling>
          <c:orientation val="minMax"/>
        </c:scaling>
        <c:axPos val="b"/>
        <c:numFmt formatCode="yyyy/m/d" sourceLinked="1"/>
        <c:tickLblPos val="nextTo"/>
        <c:txPr>
          <a:bodyPr rot="-5400000" vert="horz"/>
          <a:lstStyle/>
          <a:p>
            <a:pPr>
              <a:defRPr baseline="0">
                <a:latin typeface="Times New Roman" pitchFamily="18" charset="0"/>
                <a:cs typeface="Times New Roman" pitchFamily="18" charset="0"/>
              </a:defRPr>
            </a:pPr>
            <a:endParaRPr lang="zh-CN"/>
          </a:p>
        </c:txPr>
        <c:crossAx val="116812416"/>
        <c:crosses val="autoZero"/>
        <c:lblAlgn val="ctr"/>
        <c:lblOffset val="100"/>
      </c:catAx>
      <c:valAx>
        <c:axId val="116812416"/>
        <c:scaling>
          <c:orientation val="minMax"/>
        </c:scaling>
        <c:axPos val="l"/>
        <c:majorGridlines/>
        <c:numFmt formatCode="General" sourceLinked="1"/>
        <c:tickLblPos val="nextTo"/>
        <c:spPr>
          <a:ln>
            <a:noFill/>
          </a:ln>
        </c:spPr>
        <c:txPr>
          <a:bodyPr/>
          <a:lstStyle/>
          <a:p>
            <a:pPr>
              <a:defRPr>
                <a:latin typeface="Times New Roman" pitchFamily="18" charset="0"/>
                <a:cs typeface="Times New Roman" pitchFamily="18" charset="0"/>
              </a:defRPr>
            </a:pPr>
            <a:endParaRPr lang="zh-CN"/>
          </a:p>
        </c:txPr>
        <c:crossAx val="116810880"/>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ECF4C6-190C-42E1-9A9D-A8F07EEC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7</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donghb</dc:creator>
  <cp:keywords/>
  <dc:description/>
  <cp:lastModifiedBy>luzm</cp:lastModifiedBy>
  <cp:revision>226</cp:revision>
  <cp:lastPrinted>2016-09-09T02:16:00Z</cp:lastPrinted>
  <dcterms:created xsi:type="dcterms:W3CDTF">2014-10-07T10:55:00Z</dcterms:created>
  <dcterms:modified xsi:type="dcterms:W3CDTF">2016-09-12T02:14:00Z</dcterms:modified>
</cp:coreProperties>
</file>