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9D" w:rsidRDefault="00B303B3">
      <w:pPr>
        <w:widowControl w:val="0"/>
        <w:spacing w:before="227"/>
        <w:rPr>
          <w:rFonts w:ascii="Times New Roman" w:eastAsia="黑体" w:hAnsi="Times New Roman"/>
          <w:b/>
          <w:kern w:val="2"/>
          <w:sz w:val="32"/>
          <w:szCs w:val="32"/>
          <w:lang w:val="en-US"/>
        </w:rPr>
      </w:pPr>
      <w:r>
        <w:rPr>
          <w:rFonts w:ascii="Times New Roman" w:eastAsia="黑体" w:hAnsi="Times New Roman"/>
          <w:b/>
          <w:noProof/>
          <w:sz w:val="52"/>
          <w:szCs w:val="52"/>
          <w:lang w:val="en-US"/>
        </w:rPr>
        <w:drawing>
          <wp:inline distT="0" distB="0" distL="0" distR="0">
            <wp:extent cx="4699591" cy="680483"/>
            <wp:effectExtent l="0" t="0" r="0" b="0"/>
            <wp:docPr id="4" name="图片 1"/>
            <wp:cNvGraphicFramePr/>
            <a:graphic xmlns:a="http://schemas.openxmlformats.org/drawingml/2006/main">
              <a:graphicData uri="http://schemas.openxmlformats.org/drawingml/2006/picture">
                <pic:pic xmlns:pic="http://schemas.openxmlformats.org/drawingml/2006/picture">
                  <pic:nvPicPr>
                    <pic:cNvPr id="6169038" name="Picture 8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4701525" cy="680763"/>
                    </a:xfrm>
                    <a:prstGeom prst="rect">
                      <a:avLst/>
                    </a:prstGeom>
                    <a:noFill/>
                    <a:ln w="9525">
                      <a:noFill/>
                      <a:miter lim="800000"/>
                      <a:headEnd/>
                      <a:tailEnd/>
                    </a:ln>
                  </pic:spPr>
                </pic:pic>
              </a:graphicData>
            </a:graphic>
          </wp:inline>
        </w:drawing>
      </w:r>
      <w:bookmarkStart w:id="0" w:name="company_ename"/>
      <w:bookmarkEnd w:id="0"/>
    </w:p>
    <w:p w:rsidR="002818C2" w:rsidRDefault="002818C2" w:rsidP="00581096">
      <w:pPr>
        <w:widowControl w:val="0"/>
        <w:spacing w:before="227"/>
        <w:jc w:val="center"/>
        <w:rPr>
          <w:rFonts w:ascii="Times New Roman" w:eastAsia="黑体" w:hAnsi="Times New Roman"/>
          <w:kern w:val="2"/>
          <w:sz w:val="32"/>
          <w:szCs w:val="32"/>
          <w:lang w:val="en-US"/>
        </w:rPr>
      </w:pPr>
    </w:p>
    <w:p w:rsidR="009C62B9" w:rsidRDefault="009C62B9" w:rsidP="00581096">
      <w:pPr>
        <w:widowControl w:val="0"/>
        <w:spacing w:before="227"/>
        <w:jc w:val="center"/>
        <w:rPr>
          <w:rFonts w:ascii="Times New Roman" w:eastAsia="黑体" w:hAnsi="Times New Roman"/>
          <w:kern w:val="2"/>
          <w:sz w:val="32"/>
          <w:szCs w:val="32"/>
          <w:lang w:val="en-US"/>
        </w:rPr>
      </w:pP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heme="minorEastAsia" w:hint="eastAsia"/>
          <w:b/>
          <w:kern w:val="2"/>
          <w:sz w:val="44"/>
          <w:szCs w:val="44"/>
          <w:lang w:val="en-US"/>
        </w:rPr>
        <w:t>国华人寿保险股份有限公司</w:t>
      </w:r>
    </w:p>
    <w:p w:rsidR="002818C2" w:rsidRPr="001F0A72" w:rsidRDefault="00F42E49" w:rsidP="00581096">
      <w:pPr>
        <w:widowControl w:val="0"/>
        <w:spacing w:before="227" w:line="0" w:lineRule="atLeast"/>
        <w:jc w:val="center"/>
        <w:rPr>
          <w:rFonts w:ascii="Times New Roman" w:eastAsiaTheme="minorEastAsia" w:hAnsi="Times New Roman"/>
          <w:b/>
          <w:kern w:val="2"/>
          <w:sz w:val="44"/>
          <w:szCs w:val="44"/>
          <w:lang w:val="en-US"/>
        </w:rPr>
      </w:pPr>
      <w:r w:rsidRPr="004C65DC">
        <w:rPr>
          <w:rFonts w:ascii="Times New Roman" w:eastAsiaTheme="minorEastAsia" w:hAnsiTheme="minorEastAsia" w:hint="eastAsia"/>
          <w:b/>
          <w:kern w:val="2"/>
          <w:sz w:val="44"/>
          <w:szCs w:val="44"/>
          <w:lang w:val="en-US"/>
        </w:rPr>
        <w:t>国华</w:t>
      </w:r>
      <w:r w:rsidRPr="004C65DC">
        <w:rPr>
          <w:rFonts w:ascii="Times New Roman" w:eastAsiaTheme="minorEastAsia" w:hAnsiTheme="minorEastAsia"/>
          <w:b/>
          <w:kern w:val="2"/>
          <w:sz w:val="44"/>
          <w:szCs w:val="44"/>
          <w:lang w:val="en-US"/>
        </w:rPr>
        <w:t>1</w:t>
      </w:r>
      <w:r w:rsidRPr="004C65DC">
        <w:rPr>
          <w:rFonts w:ascii="Times New Roman" w:eastAsiaTheme="minorEastAsia" w:hAnsiTheme="minorEastAsia" w:hint="eastAsia"/>
          <w:b/>
          <w:kern w:val="2"/>
          <w:sz w:val="44"/>
          <w:szCs w:val="44"/>
          <w:lang w:val="en-US"/>
        </w:rPr>
        <w:t>号</w:t>
      </w:r>
      <w:r w:rsidR="008E587C">
        <w:rPr>
          <w:rFonts w:ascii="Times New Roman" w:eastAsiaTheme="minorEastAsia" w:hAnsiTheme="minorEastAsia" w:hint="eastAsia"/>
          <w:b/>
          <w:kern w:val="2"/>
          <w:sz w:val="44"/>
          <w:szCs w:val="44"/>
          <w:lang w:val="en-US"/>
        </w:rPr>
        <w:t>保守</w:t>
      </w:r>
      <w:r w:rsidR="00CC5E23" w:rsidRPr="00CC5E23">
        <w:rPr>
          <w:rFonts w:ascii="Times New Roman" w:eastAsiaTheme="minorEastAsia" w:hAnsiTheme="minorEastAsia" w:hint="eastAsia"/>
          <w:b/>
          <w:kern w:val="2"/>
          <w:sz w:val="44"/>
          <w:szCs w:val="44"/>
          <w:lang w:val="en-US"/>
        </w:rPr>
        <w:t>型投资连结保险投资账户</w:t>
      </w:r>
    </w:p>
    <w:p w:rsidR="002818C2" w:rsidRPr="001F0A72" w:rsidRDefault="00CC5E23" w:rsidP="00581096">
      <w:pPr>
        <w:widowControl w:val="0"/>
        <w:spacing w:before="227" w:line="0" w:lineRule="atLeast"/>
        <w:jc w:val="center"/>
        <w:rPr>
          <w:rFonts w:ascii="Times New Roman" w:eastAsiaTheme="minorEastAsia" w:hAnsi="Times New Roman"/>
          <w:b/>
          <w:kern w:val="2"/>
          <w:sz w:val="44"/>
          <w:szCs w:val="44"/>
          <w:lang w:val="en-US"/>
        </w:rPr>
      </w:pPr>
      <w:r w:rsidRPr="00CC5E23">
        <w:rPr>
          <w:rFonts w:ascii="Times New Roman" w:eastAsiaTheme="minorEastAsia" w:hAnsi="Times New Roman"/>
          <w:b/>
          <w:kern w:val="2"/>
          <w:sz w:val="44"/>
          <w:szCs w:val="44"/>
          <w:lang w:val="en-US"/>
        </w:rPr>
        <w:t>201</w:t>
      </w:r>
      <w:r w:rsidR="00F42E49">
        <w:rPr>
          <w:rFonts w:ascii="Times New Roman" w:eastAsiaTheme="minorEastAsia" w:hAnsi="Times New Roman" w:hint="eastAsia"/>
          <w:b/>
          <w:kern w:val="2"/>
          <w:sz w:val="44"/>
          <w:szCs w:val="44"/>
          <w:lang w:val="en-US"/>
        </w:rPr>
        <w:t>6</w:t>
      </w:r>
      <w:r w:rsidR="00473649">
        <w:rPr>
          <w:rFonts w:ascii="Times New Roman" w:eastAsiaTheme="minorEastAsia" w:hAnsiTheme="minorEastAsia" w:hint="eastAsia"/>
          <w:b/>
          <w:kern w:val="2"/>
          <w:sz w:val="44"/>
          <w:szCs w:val="44"/>
          <w:lang w:val="en-US"/>
        </w:rPr>
        <w:t>年</w:t>
      </w:r>
      <w:r w:rsidR="000415DD">
        <w:rPr>
          <w:rFonts w:ascii="Times New Roman" w:eastAsiaTheme="minorEastAsia" w:hAnsiTheme="minorEastAsia" w:hint="eastAsia"/>
          <w:b/>
          <w:kern w:val="2"/>
          <w:sz w:val="44"/>
          <w:szCs w:val="44"/>
          <w:lang w:val="en-US"/>
        </w:rPr>
        <w:t>半年度</w:t>
      </w:r>
      <w:r w:rsidR="003B4903">
        <w:rPr>
          <w:rFonts w:ascii="Times New Roman" w:eastAsiaTheme="minorEastAsia" w:hAnsiTheme="minorEastAsia" w:hint="eastAsia"/>
          <w:b/>
          <w:kern w:val="2"/>
          <w:sz w:val="44"/>
          <w:szCs w:val="44"/>
          <w:lang w:val="en-US"/>
        </w:rPr>
        <w:t>信息公告</w:t>
      </w:r>
    </w:p>
    <w:p w:rsidR="002818C2" w:rsidRPr="00581096" w:rsidRDefault="002818C2" w:rsidP="00581096">
      <w:pPr>
        <w:widowControl w:val="0"/>
        <w:spacing w:before="227" w:line="0" w:lineRule="atLeast"/>
        <w:jc w:val="center"/>
        <w:rPr>
          <w:rFonts w:asciiTheme="majorEastAsia" w:eastAsiaTheme="majorEastAsia" w:hAnsiTheme="majorEastAsia"/>
          <w:b/>
          <w:kern w:val="2"/>
          <w:sz w:val="32"/>
          <w:szCs w:val="32"/>
          <w:lang w:val="en-US"/>
        </w:rPr>
      </w:pPr>
    </w:p>
    <w:p w:rsidR="002818C2" w:rsidRPr="00581096" w:rsidRDefault="002818C2" w:rsidP="00FF721F">
      <w:pPr>
        <w:rPr>
          <w:rFonts w:asciiTheme="majorEastAsia" w:eastAsiaTheme="majorEastAsia" w:hAnsiTheme="majorEastAsia"/>
          <w:b/>
          <w:sz w:val="21"/>
          <w:szCs w:val="21"/>
          <w:lang w:val="en-US"/>
        </w:rPr>
      </w:pPr>
      <w:bookmarkStart w:id="1" w:name="company_cname"/>
      <w:bookmarkStart w:id="2" w:name="year"/>
      <w:bookmarkEnd w:id="1"/>
      <w:bookmarkEnd w:id="2"/>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E30EB4" w:rsidRDefault="002818C2" w:rsidP="00FF721F">
      <w:pPr>
        <w:rPr>
          <w:rFonts w:ascii="Times New Roman" w:eastAsiaTheme="minorEastAsia" w:hAnsiTheme="minorEastAsia"/>
          <w:sz w:val="21"/>
          <w:szCs w:val="21"/>
          <w:lang w:val="en-US"/>
        </w:rPr>
      </w:pPr>
    </w:p>
    <w:p w:rsidR="002818C2" w:rsidRPr="001F0A72" w:rsidRDefault="002818C2" w:rsidP="00FF721F">
      <w:pPr>
        <w:rPr>
          <w:rFonts w:ascii="Times New Roman" w:eastAsiaTheme="minorEastAsia" w:hAnsi="Times New Roman"/>
          <w:sz w:val="21"/>
          <w:szCs w:val="21"/>
          <w:lang w:val="en-US"/>
        </w:rPr>
      </w:pPr>
    </w:p>
    <w:p w:rsidR="00DD739D" w:rsidRDefault="00CC5E23">
      <w:pPr>
        <w:spacing w:line="360" w:lineRule="auto"/>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重要声明与提示：</w:t>
      </w:r>
    </w:p>
    <w:p w:rsidR="00DD739D" w:rsidRDefault="00CC5E23" w:rsidP="005F681D">
      <w:pPr>
        <w:spacing w:line="360" w:lineRule="auto"/>
        <w:ind w:rightChars="118" w:right="260"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本信息公告依据中国保险监督管理委员会颁布的</w:t>
      </w:r>
      <w:r w:rsidR="00334F16" w:rsidRPr="00C27D30">
        <w:rPr>
          <w:rFonts w:ascii="Times New Roman" w:eastAsiaTheme="minorEastAsia" w:hAnsiTheme="minorEastAsia"/>
          <w:sz w:val="21"/>
          <w:szCs w:val="21"/>
          <w:lang w:val="en-US"/>
        </w:rPr>
        <w:t>《</w:t>
      </w:r>
      <w:r w:rsidR="00334F16">
        <w:rPr>
          <w:rFonts w:ascii="Times New Roman" w:eastAsiaTheme="minorEastAsia" w:hAnsiTheme="minorEastAsia" w:hint="eastAsia"/>
          <w:sz w:val="21"/>
          <w:szCs w:val="21"/>
          <w:lang w:val="en-US"/>
        </w:rPr>
        <w:t>中国保监会关于规范投资连结保险投资账户有关事项的通知</w:t>
      </w:r>
      <w:r w:rsidR="00334F16" w:rsidRPr="00C27D30">
        <w:rPr>
          <w:rFonts w:ascii="Times New Roman" w:eastAsiaTheme="minorEastAsia" w:hAnsiTheme="minorEastAsia"/>
          <w:sz w:val="21"/>
          <w:szCs w:val="21"/>
          <w:lang w:val="en-US"/>
        </w:rPr>
        <w:t>》</w:t>
      </w:r>
      <w:r w:rsidRPr="00CC5E23">
        <w:rPr>
          <w:rFonts w:ascii="Times New Roman" w:eastAsiaTheme="minorEastAsia" w:hAnsiTheme="minorEastAsia" w:hint="eastAsia"/>
          <w:sz w:val="21"/>
          <w:szCs w:val="21"/>
          <w:lang w:val="en-US"/>
        </w:rPr>
        <w:t>和《人身保险新型产品信息披露管理办法》编制并发布。</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本公司承诺遵循有关监管规定，以诚实信用、谨慎</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的原则进行投资连结保险投资账户的投资。</w:t>
      </w:r>
    </w:p>
    <w:p w:rsidR="00C22853" w:rsidRDefault="00CC5E23" w:rsidP="000415DD">
      <w:pPr>
        <w:spacing w:line="360" w:lineRule="auto"/>
        <w:ind w:rightChars="118" w:right="260" w:firstLine="405"/>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本信息公告所披露数据仅代表过往业绩，并不代表其未来表现。敬请投保人注意投资风险，并仔细阅读相关保险条款和产品说明书。</w:t>
      </w:r>
    </w:p>
    <w:p w:rsidR="00DD739D" w:rsidRDefault="00CC5E23" w:rsidP="000415DD">
      <w:pPr>
        <w:spacing w:line="360" w:lineRule="auto"/>
        <w:ind w:rightChars="118" w:right="260" w:firstLine="405"/>
        <w:jc w:val="both"/>
        <w:rPr>
          <w:rFonts w:ascii="Times New Roman" w:eastAsiaTheme="minorEastAsia" w:hAnsi="Times New Roman"/>
          <w:sz w:val="21"/>
          <w:szCs w:val="21"/>
          <w:lang w:val="en-US"/>
        </w:rPr>
        <w:sectPr w:rsidR="00DD739D" w:rsidSect="00532157">
          <w:footerReference w:type="default" r:id="rId9"/>
          <w:pgSz w:w="11906" w:h="16838" w:code="9"/>
          <w:pgMar w:top="1440" w:right="1800" w:bottom="1440" w:left="1800" w:header="851" w:footer="992" w:gutter="0"/>
          <w:cols w:space="425"/>
          <w:docGrid w:type="lines" w:linePitch="312"/>
        </w:sectPr>
      </w:pPr>
      <w:r w:rsidRPr="00CC5E23">
        <w:rPr>
          <w:rFonts w:ascii="Times New Roman" w:eastAsiaTheme="minorEastAsia" w:hAnsiTheme="minorEastAsia" w:hint="eastAsia"/>
          <w:sz w:val="21"/>
          <w:szCs w:val="21"/>
          <w:lang w:val="en-US"/>
        </w:rPr>
        <w:t>本信息公告报告期为</w:t>
      </w:r>
      <w:r w:rsidRPr="00CC5E23">
        <w:rPr>
          <w:rFonts w:ascii="Times New Roman" w:eastAsiaTheme="minorEastAsia" w:hAnsi="Times New Roman"/>
          <w:sz w:val="21"/>
          <w:szCs w:val="21"/>
          <w:lang w:val="en-US"/>
        </w:rPr>
        <w:t>201</w:t>
      </w:r>
      <w:r w:rsidR="00F42E49">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28122C">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月</w:t>
      </w:r>
      <w:r w:rsidR="002D5D8A">
        <w:rPr>
          <w:rFonts w:ascii="Times New Roman" w:eastAsiaTheme="minorEastAsia" w:hAnsi="Times New Roman" w:hint="eastAsia"/>
          <w:sz w:val="21"/>
          <w:szCs w:val="21"/>
          <w:lang w:val="en-US"/>
        </w:rPr>
        <w:t>4</w:t>
      </w:r>
      <w:r w:rsidRPr="00CC5E23">
        <w:rPr>
          <w:rFonts w:ascii="Times New Roman" w:eastAsiaTheme="minorEastAsia" w:hAnsiTheme="minorEastAsia" w:hint="eastAsia"/>
          <w:sz w:val="21"/>
          <w:szCs w:val="21"/>
          <w:lang w:val="en-US"/>
        </w:rPr>
        <w:t>日</w:t>
      </w:r>
      <w:r w:rsidRPr="00CC5E23">
        <w:rPr>
          <w:rFonts w:ascii="Times New Roman" w:eastAsiaTheme="minorEastAsia" w:hAnsi="Times New Roman"/>
          <w:sz w:val="21"/>
          <w:szCs w:val="21"/>
          <w:lang w:val="en-US"/>
        </w:rPr>
        <w:t>-201</w:t>
      </w:r>
      <w:r w:rsidR="00F42E49">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0415DD">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月</w:t>
      </w:r>
      <w:r w:rsidR="003B4903">
        <w:rPr>
          <w:rFonts w:ascii="Times New Roman" w:eastAsiaTheme="minorEastAsia" w:hAnsi="Times New Roman"/>
          <w:sz w:val="21"/>
          <w:szCs w:val="21"/>
          <w:lang w:val="en-US"/>
        </w:rPr>
        <w:t>3</w:t>
      </w:r>
      <w:r w:rsidR="000415DD">
        <w:rPr>
          <w:rFonts w:ascii="Times New Roman" w:eastAsiaTheme="minorEastAsia" w:hAnsi="Times New Roman" w:hint="eastAsia"/>
          <w:sz w:val="21"/>
          <w:szCs w:val="21"/>
          <w:lang w:val="en-US"/>
        </w:rPr>
        <w:t>0</w:t>
      </w:r>
      <w:r w:rsidRPr="00CC5E23">
        <w:rPr>
          <w:rFonts w:ascii="Times New Roman" w:eastAsiaTheme="minorEastAsia" w:hAnsiTheme="minorEastAsia" w:hint="eastAsia"/>
          <w:sz w:val="21"/>
          <w:szCs w:val="21"/>
          <w:lang w:val="en-US"/>
        </w:rPr>
        <w:t>日。</w:t>
      </w:r>
    </w:p>
    <w:p w:rsidR="00CC5E23" w:rsidRPr="00CC5E23" w:rsidRDefault="00CC5E23" w:rsidP="00CC5E23">
      <w:pPr>
        <w:spacing w:line="360" w:lineRule="auto"/>
        <w:ind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lastRenderedPageBreak/>
        <w:t>一、基本信息</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自</w:t>
      </w:r>
      <w:r w:rsidRPr="00CC5E23">
        <w:rPr>
          <w:rFonts w:ascii="Times New Roman" w:eastAsiaTheme="minorEastAsia" w:hAnsi="Times New Roman"/>
          <w:sz w:val="21"/>
          <w:szCs w:val="21"/>
          <w:lang w:val="en-US"/>
        </w:rPr>
        <w:t>201</w:t>
      </w:r>
      <w:r w:rsidR="00BE32F9">
        <w:rPr>
          <w:rFonts w:ascii="Times New Roman" w:eastAsiaTheme="minorEastAsia" w:hAnsi="Times New Roman" w:hint="eastAsia"/>
          <w:sz w:val="21"/>
          <w:szCs w:val="21"/>
          <w:lang w:val="en-US"/>
        </w:rPr>
        <w:t>6</w:t>
      </w:r>
      <w:r w:rsidRPr="00CC5E23">
        <w:rPr>
          <w:rFonts w:ascii="Times New Roman" w:eastAsiaTheme="minorEastAsia" w:hAnsiTheme="minorEastAsia" w:hint="eastAsia"/>
          <w:sz w:val="21"/>
          <w:szCs w:val="21"/>
          <w:lang w:val="en-US"/>
        </w:rPr>
        <w:t>年</w:t>
      </w:r>
      <w:r w:rsidR="00BE32F9">
        <w:rPr>
          <w:rFonts w:ascii="Times New Roman" w:eastAsiaTheme="minorEastAsia" w:hAnsi="Times New Roman" w:hint="eastAsia"/>
          <w:sz w:val="21"/>
          <w:szCs w:val="21"/>
          <w:lang w:val="en-US"/>
        </w:rPr>
        <w:t>1</w:t>
      </w:r>
      <w:r w:rsidRPr="00CC5E23">
        <w:rPr>
          <w:rFonts w:ascii="Times New Roman" w:eastAsiaTheme="minorEastAsia" w:hAnsiTheme="minorEastAsia" w:hint="eastAsia"/>
          <w:sz w:val="21"/>
          <w:szCs w:val="21"/>
          <w:lang w:val="en-US"/>
        </w:rPr>
        <w:t>月起，公司为投资连结保险产品设立了国华</w:t>
      </w:r>
      <w:r w:rsidR="002D5D8A">
        <w:rPr>
          <w:rFonts w:ascii="Times New Roman" w:eastAsiaTheme="minorEastAsia" w:hAnsiTheme="minorEastAsia" w:hint="eastAsia"/>
          <w:sz w:val="21"/>
          <w:szCs w:val="21"/>
          <w:lang w:val="en-US"/>
        </w:rPr>
        <w:t>1</w:t>
      </w:r>
      <w:r w:rsidR="002D5D8A">
        <w:rPr>
          <w:rFonts w:ascii="Times New Roman" w:eastAsiaTheme="minorEastAsia" w:hAnsiTheme="minorEastAsia" w:hint="eastAsia"/>
          <w:sz w:val="21"/>
          <w:szCs w:val="21"/>
          <w:lang w:val="en-US"/>
        </w:rPr>
        <w:t>号</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型投资账户，该账户依照中国保监会有关规定和</w:t>
      </w:r>
      <w:r w:rsidR="00D20C1C">
        <w:rPr>
          <w:rFonts w:ascii="Times New Roman" w:eastAsiaTheme="minorEastAsia" w:hAnsiTheme="minorEastAsia" w:hint="eastAsia"/>
          <w:sz w:val="21"/>
          <w:szCs w:val="21"/>
          <w:lang w:val="en-US"/>
        </w:rPr>
        <w:t>国华华瑞</w:t>
      </w:r>
      <w:r w:rsidR="00D20C1C">
        <w:rPr>
          <w:rFonts w:ascii="Times New Roman" w:eastAsiaTheme="minorEastAsia" w:hAnsiTheme="minorEastAsia" w:hint="eastAsia"/>
          <w:sz w:val="21"/>
          <w:szCs w:val="21"/>
          <w:lang w:val="en-US"/>
        </w:rPr>
        <w:t>1</w:t>
      </w:r>
      <w:r w:rsidR="00D20C1C">
        <w:rPr>
          <w:rFonts w:ascii="Times New Roman" w:eastAsiaTheme="minorEastAsia" w:hAnsiTheme="minorEastAsia" w:hint="eastAsia"/>
          <w:sz w:val="21"/>
          <w:szCs w:val="21"/>
          <w:lang w:val="en-US"/>
        </w:rPr>
        <w:t>号年金保险（投资连结型）</w:t>
      </w:r>
      <w:r w:rsidR="00D20C1C">
        <w:rPr>
          <w:rFonts w:ascii="Times New Roman" w:eastAsiaTheme="minorEastAsia" w:hAnsiTheme="minorEastAsia" w:hint="eastAsia"/>
          <w:sz w:val="21"/>
          <w:szCs w:val="21"/>
          <w:lang w:val="en-US"/>
        </w:rPr>
        <w:t>A</w:t>
      </w:r>
      <w:r w:rsidR="00D20C1C">
        <w:rPr>
          <w:rFonts w:ascii="Times New Roman" w:eastAsiaTheme="minorEastAsia" w:hAnsiTheme="minorEastAsia" w:hint="eastAsia"/>
          <w:sz w:val="21"/>
          <w:szCs w:val="21"/>
          <w:lang w:val="en-US"/>
        </w:rPr>
        <w:t>款</w:t>
      </w:r>
      <w:r w:rsidRPr="00CC5E23">
        <w:rPr>
          <w:rFonts w:ascii="Times New Roman" w:eastAsiaTheme="minorEastAsia" w:hAnsiTheme="minorEastAsia" w:hint="eastAsia"/>
          <w:sz w:val="21"/>
          <w:szCs w:val="21"/>
          <w:lang w:val="en-US"/>
        </w:rPr>
        <w:t>有关条款，并经中国保监会审批后设立。</w:t>
      </w:r>
    </w:p>
    <w:p w:rsidR="00DD739D" w:rsidRDefault="00CC5E23" w:rsidP="005F681D">
      <w:pPr>
        <w:spacing w:line="360" w:lineRule="auto"/>
        <w:ind w:firstLineChars="200" w:firstLine="420"/>
        <w:jc w:val="both"/>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上述投资账户采取专业化的资金运作管理方式，投资管理与投资组合均符合中国保监会相关规定和保单条款的有关内容。</w:t>
      </w:r>
    </w:p>
    <w:p w:rsidR="00720880" w:rsidRDefault="00CC5E23" w:rsidP="009A1464">
      <w:pPr>
        <w:spacing w:line="360" w:lineRule="auto"/>
        <w:ind w:firstLineChars="200" w:firstLine="420"/>
        <w:jc w:val="both"/>
        <w:rPr>
          <w:rFonts w:ascii="Times New Roman" w:eastAsiaTheme="minorEastAsia" w:hAnsiTheme="minorEastAsia"/>
          <w:sz w:val="21"/>
          <w:szCs w:val="21"/>
          <w:lang w:val="en-US"/>
        </w:rPr>
      </w:pPr>
      <w:r w:rsidRPr="004E4A68">
        <w:rPr>
          <w:rFonts w:ascii="Times New Roman" w:eastAsiaTheme="minorEastAsia" w:hAnsiTheme="minorEastAsia"/>
          <w:sz w:val="21"/>
          <w:szCs w:val="21"/>
          <w:lang w:val="en-US"/>
        </w:rPr>
        <w:t>1</w:t>
      </w:r>
      <w:r w:rsidRPr="004E4A68">
        <w:rPr>
          <w:rFonts w:ascii="Times New Roman" w:eastAsiaTheme="minorEastAsia" w:hAnsiTheme="minorEastAsia" w:hint="eastAsia"/>
          <w:sz w:val="21"/>
          <w:szCs w:val="21"/>
          <w:lang w:val="en-US"/>
        </w:rPr>
        <w:t>、账户设立时间</w:t>
      </w:r>
      <w:r w:rsidRPr="00CC5E23">
        <w:rPr>
          <w:rFonts w:ascii="Times New Roman" w:eastAsiaTheme="minorEastAsia" w:hAnsiTheme="minorEastAsia" w:hint="eastAsia"/>
          <w:sz w:val="21"/>
          <w:szCs w:val="21"/>
          <w:lang w:val="en-US"/>
        </w:rPr>
        <w:t>：</w:t>
      </w:r>
      <w:r w:rsidRPr="004E4A68">
        <w:rPr>
          <w:rFonts w:ascii="Times New Roman" w:eastAsiaTheme="minorEastAsia" w:hAnsiTheme="minorEastAsia"/>
          <w:sz w:val="21"/>
          <w:szCs w:val="21"/>
          <w:lang w:val="en-US"/>
        </w:rPr>
        <w:t>201</w:t>
      </w:r>
      <w:r w:rsidR="00F42E49">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F42E49">
        <w:rPr>
          <w:rFonts w:ascii="Times New Roman" w:eastAsiaTheme="minorEastAsia" w:hAnsiTheme="minorEastAsia" w:hint="eastAsia"/>
          <w:sz w:val="21"/>
          <w:szCs w:val="21"/>
          <w:lang w:val="en-US"/>
        </w:rPr>
        <w:t>1</w:t>
      </w:r>
      <w:r w:rsidRPr="00CC5E23">
        <w:rPr>
          <w:rFonts w:ascii="Times New Roman" w:eastAsiaTheme="minorEastAsia" w:hAnsiTheme="minorEastAsia" w:hint="eastAsia"/>
          <w:sz w:val="21"/>
          <w:szCs w:val="21"/>
          <w:lang w:val="en-US"/>
        </w:rPr>
        <w:t>月</w:t>
      </w:r>
      <w:r w:rsidR="00F42E49">
        <w:rPr>
          <w:rFonts w:ascii="Times New Roman" w:eastAsiaTheme="minorEastAsia" w:hAnsiTheme="minorEastAsia" w:hint="eastAsia"/>
          <w:sz w:val="21"/>
          <w:szCs w:val="21"/>
          <w:lang w:val="en-US"/>
        </w:rPr>
        <w:t>4</w:t>
      </w:r>
      <w:r w:rsidRPr="00CC5E23">
        <w:rPr>
          <w:rFonts w:ascii="Times New Roman" w:eastAsiaTheme="minorEastAsia" w:hAnsiTheme="minorEastAsia" w:hint="eastAsia"/>
          <w:sz w:val="21"/>
          <w:szCs w:val="21"/>
          <w:lang w:val="en-US"/>
        </w:rPr>
        <w:t>日。</w:t>
      </w:r>
      <w:r w:rsidRPr="004E4A68">
        <w:rPr>
          <w:rFonts w:ascii="Times New Roman" w:eastAsiaTheme="minorEastAsia" w:hAnsiTheme="minorEastAsia"/>
          <w:sz w:val="21"/>
          <w:szCs w:val="21"/>
          <w:lang w:val="en-US"/>
        </w:rPr>
        <w:br/>
      </w:r>
      <w:r w:rsidRPr="00CC5E23">
        <w:rPr>
          <w:rFonts w:ascii="Times New Roman" w:eastAsiaTheme="minorEastAsia" w:hAnsiTheme="minorEastAsia" w:hint="eastAsia"/>
          <w:sz w:val="21"/>
          <w:szCs w:val="21"/>
          <w:lang w:val="en-US"/>
        </w:rPr>
        <w:t xml:space="preserve">　　</w:t>
      </w:r>
      <w:r w:rsidRPr="00F3357A">
        <w:rPr>
          <w:rFonts w:ascii="Times New Roman" w:eastAsiaTheme="minorEastAsia" w:hAnsiTheme="minorEastAsia"/>
          <w:sz w:val="21"/>
          <w:szCs w:val="21"/>
          <w:lang w:val="en-US"/>
        </w:rPr>
        <w:t>2</w:t>
      </w:r>
      <w:r w:rsidRPr="00F3357A">
        <w:rPr>
          <w:rFonts w:ascii="Times New Roman" w:eastAsiaTheme="minorEastAsia" w:hAnsiTheme="minorEastAsia" w:hint="eastAsia"/>
          <w:sz w:val="21"/>
          <w:szCs w:val="21"/>
          <w:lang w:val="en-US"/>
        </w:rPr>
        <w:t>、</w:t>
      </w:r>
      <w:r w:rsidR="00720880" w:rsidRPr="00720880">
        <w:rPr>
          <w:rFonts w:ascii="Times New Roman" w:eastAsiaTheme="minorEastAsia" w:hAnsiTheme="minorEastAsia" w:hint="eastAsia"/>
          <w:sz w:val="21"/>
          <w:szCs w:val="21"/>
          <w:lang w:val="en-US"/>
        </w:rPr>
        <w:t>账户特征与投资策略</w:t>
      </w:r>
      <w:r w:rsidRPr="00F3357A">
        <w:rPr>
          <w:rFonts w:ascii="Times New Roman" w:eastAsiaTheme="minorEastAsia" w:hAnsiTheme="minorEastAsia" w:hint="eastAsia"/>
          <w:sz w:val="21"/>
          <w:szCs w:val="21"/>
          <w:lang w:val="en-US"/>
        </w:rPr>
        <w:t>：</w:t>
      </w:r>
    </w:p>
    <w:p w:rsidR="00720880" w:rsidRDefault="00720880" w:rsidP="00720880">
      <w:pPr>
        <w:spacing w:line="360" w:lineRule="auto"/>
        <w:ind w:firstLineChars="200" w:firstLine="420"/>
        <w:jc w:val="both"/>
        <w:rPr>
          <w:rFonts w:ascii="Times New Roman" w:eastAsiaTheme="minorEastAsia" w:hAnsiTheme="minorEastAsia"/>
          <w:sz w:val="21"/>
          <w:szCs w:val="21"/>
          <w:lang w:val="en-US"/>
        </w:rPr>
      </w:pPr>
      <w:r w:rsidRPr="00720880">
        <w:rPr>
          <w:rFonts w:ascii="Times New Roman" w:eastAsiaTheme="minorEastAsia" w:hAnsiTheme="minorEastAsia" w:hint="eastAsia"/>
          <w:sz w:val="21"/>
          <w:szCs w:val="21"/>
          <w:lang w:val="en-US"/>
        </w:rPr>
        <w:t>本投资账户以流动性资产和固定收益类资产投资为主，呈现低风险、高流动性的特点，高比例投资于银行存款、货币市场基金、短期债券、短期银行理财、信托公司集合资金信托计划等品种，在确保本金安全和高流动性的前提下</w:t>
      </w:r>
      <w:r w:rsidRPr="00720880">
        <w:rPr>
          <w:rFonts w:ascii="Times New Roman" w:eastAsiaTheme="minorEastAsia" w:hAnsiTheme="minorEastAsia"/>
          <w:sz w:val="21"/>
          <w:szCs w:val="21"/>
          <w:lang w:val="en-US"/>
        </w:rPr>
        <w:t>,</w:t>
      </w:r>
      <w:r w:rsidRPr="00720880">
        <w:rPr>
          <w:rFonts w:ascii="Times New Roman" w:eastAsiaTheme="minorEastAsia" w:hAnsiTheme="minorEastAsia" w:hint="eastAsia"/>
          <w:sz w:val="21"/>
          <w:szCs w:val="21"/>
          <w:lang w:val="en-US"/>
        </w:rPr>
        <w:t>追求投资账户资产的稳步增值。</w:t>
      </w:r>
    </w:p>
    <w:p w:rsidR="00720880" w:rsidRPr="00720880" w:rsidRDefault="00720880" w:rsidP="00720880">
      <w:pPr>
        <w:spacing w:line="360" w:lineRule="auto"/>
        <w:ind w:firstLineChars="200" w:firstLine="420"/>
        <w:jc w:val="both"/>
        <w:rPr>
          <w:rFonts w:ascii="Times New Roman" w:eastAsiaTheme="minorEastAsia" w:hAnsiTheme="minorEastAsia"/>
          <w:sz w:val="21"/>
          <w:szCs w:val="21"/>
          <w:lang w:val="en-US"/>
        </w:rPr>
      </w:pPr>
      <w:r w:rsidRPr="00720880">
        <w:rPr>
          <w:rFonts w:ascii="Times New Roman" w:eastAsiaTheme="minorEastAsia" w:hAnsiTheme="minorEastAsia" w:hint="eastAsia"/>
          <w:sz w:val="21"/>
          <w:szCs w:val="21"/>
          <w:lang w:val="en-US"/>
        </w:rPr>
        <w:t>本投资账户的投资策略是通过优选质地优良、具备高流动性和良好预期收益的货币市场品种，合理安排期限结构，同时积极把握稳健的票息收益和套利机会，以实现账户本金的安全、高流动性和与承担的风险相适应的稳定增值。</w:t>
      </w:r>
    </w:p>
    <w:p w:rsidR="00720880" w:rsidRDefault="00CC5E23" w:rsidP="00720880">
      <w:pPr>
        <w:widowControl w:val="0"/>
        <w:autoSpaceDE w:val="0"/>
        <w:autoSpaceDN w:val="0"/>
        <w:adjustRightInd w:val="0"/>
        <w:ind w:firstLine="405"/>
        <w:rPr>
          <w:rFonts w:ascii="Times New Roman" w:eastAsiaTheme="minorEastAsia" w:hAnsiTheme="minorEastAsia"/>
          <w:sz w:val="21"/>
          <w:szCs w:val="21"/>
          <w:lang w:val="en-US"/>
        </w:rPr>
      </w:pPr>
      <w:r w:rsidRPr="00F3357A">
        <w:rPr>
          <w:rFonts w:ascii="Times New Roman" w:eastAsiaTheme="minorEastAsia" w:hAnsiTheme="minorEastAsia"/>
          <w:sz w:val="21"/>
          <w:szCs w:val="21"/>
          <w:lang w:val="en-US"/>
        </w:rPr>
        <w:t>3</w:t>
      </w:r>
      <w:r w:rsidRPr="00F3357A">
        <w:rPr>
          <w:rFonts w:ascii="Times New Roman" w:eastAsiaTheme="minorEastAsia" w:hAnsiTheme="minorEastAsia" w:hint="eastAsia"/>
          <w:sz w:val="21"/>
          <w:szCs w:val="21"/>
          <w:lang w:val="en-US"/>
        </w:rPr>
        <w:t>、</w:t>
      </w:r>
      <w:r w:rsidR="00720880" w:rsidRPr="00720880">
        <w:rPr>
          <w:rFonts w:ascii="Times New Roman" w:eastAsiaTheme="minorEastAsia" w:hAnsiTheme="minorEastAsia" w:hint="eastAsia"/>
          <w:sz w:val="21"/>
          <w:szCs w:val="21"/>
          <w:lang w:val="en-US"/>
        </w:rPr>
        <w:t>资产配置范围及投资比例限制：</w:t>
      </w:r>
    </w:p>
    <w:p w:rsidR="00720880" w:rsidRPr="00720880" w:rsidRDefault="00720880" w:rsidP="00720880">
      <w:pPr>
        <w:spacing w:line="360" w:lineRule="auto"/>
        <w:ind w:firstLineChars="200" w:firstLine="420"/>
        <w:jc w:val="both"/>
        <w:rPr>
          <w:rFonts w:ascii="Times New Roman" w:eastAsiaTheme="minorEastAsia" w:hAnsiTheme="minorEastAsia"/>
          <w:sz w:val="21"/>
          <w:szCs w:val="21"/>
          <w:lang w:val="en-US"/>
        </w:rPr>
      </w:pPr>
      <w:r w:rsidRPr="00720880">
        <w:rPr>
          <w:rFonts w:ascii="Times New Roman" w:eastAsiaTheme="minorEastAsia" w:hAnsiTheme="minorEastAsia" w:hint="eastAsia"/>
          <w:sz w:val="21"/>
          <w:szCs w:val="21"/>
          <w:lang w:val="en-US"/>
        </w:rPr>
        <w:t>本投资账户以流动性资产和固定收益类资产投资为主，同时也将投资于基础设施投资计划、不动产相关金融产品和其他金融资产，但不投资于上市权益类资产。流动性资产包括现金、货币市场基金、银行活期存款、银行通知存款、剩余期限不超过</w:t>
      </w:r>
      <w:r w:rsidRPr="00720880">
        <w:rPr>
          <w:rFonts w:ascii="Times New Roman" w:eastAsiaTheme="minorEastAsia" w:hAnsiTheme="minorEastAsia"/>
          <w:sz w:val="21"/>
          <w:szCs w:val="21"/>
          <w:lang w:val="en-US"/>
        </w:rPr>
        <w:t>1</w:t>
      </w:r>
      <w:r w:rsidRPr="00720880">
        <w:rPr>
          <w:rFonts w:ascii="Times New Roman" w:eastAsiaTheme="minorEastAsia" w:hAnsiTheme="minorEastAsia" w:hint="eastAsia"/>
          <w:sz w:val="21"/>
          <w:szCs w:val="21"/>
          <w:lang w:val="en-US"/>
        </w:rPr>
        <w:t>年的政府债券和准政府债券等。固定收益类资产包括各种债券、银行协议存款、债券型基金等，其中各种债券包括国债、政策性金融债、央行票据、短期融资券、中期票据、企业债和公司债等。不动产相关金融产品包括不动产投资计划、不动产类保险资产管理产品及其他不动产相关金融产品等。其他金融资产包括商业银行理财产品、银行业金融机构信贷资产支持证券、信托公司集合资金信托计划、证券公司专项资产管理计划、保险资产管理公司项目资产支持计划、其他保险资产管理产品等。本账户投资的基础设施投资计划、不动产相关金融产品和其他金融资产的基础资产具体包括但不限于：投资范围限于境内市场的信贷资产、存款、货币市场工具及公开发行且评级在投资级以上的债券的商业银行理财产品；投资范围限于五级分类为正常类和关注类的贷款的银行业金融机构信贷资产支持证券；信用等级不低于国内信用评级机构评定的</w:t>
      </w:r>
      <w:r w:rsidRPr="00720880">
        <w:rPr>
          <w:rFonts w:ascii="Times New Roman" w:eastAsiaTheme="minorEastAsia" w:hAnsiTheme="minorEastAsia"/>
          <w:sz w:val="21"/>
          <w:szCs w:val="21"/>
          <w:lang w:val="en-US"/>
        </w:rPr>
        <w:t>A</w:t>
      </w:r>
      <w:r w:rsidRPr="00720880">
        <w:rPr>
          <w:rFonts w:ascii="Times New Roman" w:eastAsiaTheme="minorEastAsia" w:hAnsiTheme="minorEastAsia" w:hint="eastAsia"/>
          <w:sz w:val="21"/>
          <w:szCs w:val="21"/>
          <w:lang w:val="en-US"/>
        </w:rPr>
        <w:t>级或者相当于</w:t>
      </w:r>
      <w:r w:rsidRPr="00720880">
        <w:rPr>
          <w:rFonts w:ascii="Times New Roman" w:eastAsiaTheme="minorEastAsia" w:hAnsiTheme="minorEastAsia"/>
          <w:sz w:val="21"/>
          <w:szCs w:val="21"/>
          <w:lang w:val="en-US"/>
        </w:rPr>
        <w:t>A</w:t>
      </w:r>
      <w:r w:rsidRPr="00720880">
        <w:rPr>
          <w:rFonts w:ascii="Times New Roman" w:eastAsiaTheme="minorEastAsia" w:hAnsiTheme="minorEastAsia" w:hint="eastAsia"/>
          <w:sz w:val="21"/>
          <w:szCs w:val="21"/>
          <w:lang w:val="en-US"/>
        </w:rPr>
        <w:t>级的固定收益类集合资金信托计划；符合证券公司企业资产证券化业务的有关规定，信用等级不低于国内信用评级机构评定的</w:t>
      </w:r>
      <w:r w:rsidRPr="00720880">
        <w:rPr>
          <w:rFonts w:ascii="Times New Roman" w:eastAsiaTheme="minorEastAsia" w:hAnsiTheme="minorEastAsia"/>
          <w:sz w:val="21"/>
          <w:szCs w:val="21"/>
          <w:lang w:val="en-US"/>
        </w:rPr>
        <w:t>A</w:t>
      </w:r>
      <w:r w:rsidRPr="00720880">
        <w:rPr>
          <w:rFonts w:ascii="Times New Roman" w:eastAsiaTheme="minorEastAsia" w:hAnsiTheme="minorEastAsia" w:hint="eastAsia"/>
          <w:sz w:val="21"/>
          <w:szCs w:val="21"/>
          <w:lang w:val="en-US"/>
        </w:rPr>
        <w:t>级或者相当于</w:t>
      </w:r>
      <w:r w:rsidRPr="00720880">
        <w:rPr>
          <w:rFonts w:ascii="Times New Roman" w:eastAsiaTheme="minorEastAsia" w:hAnsiTheme="minorEastAsia"/>
          <w:sz w:val="21"/>
          <w:szCs w:val="21"/>
          <w:lang w:val="en-US"/>
        </w:rPr>
        <w:t>A</w:t>
      </w:r>
      <w:r w:rsidRPr="00720880">
        <w:rPr>
          <w:rFonts w:ascii="Times New Roman" w:eastAsiaTheme="minorEastAsia" w:hAnsiTheme="minorEastAsia" w:hint="eastAsia"/>
          <w:sz w:val="21"/>
          <w:szCs w:val="21"/>
          <w:lang w:val="en-US"/>
        </w:rPr>
        <w:t>级的证券公司专项资产管理计划；信用等级不低于国内信用评级机构评定的</w:t>
      </w:r>
      <w:r w:rsidRPr="00720880">
        <w:rPr>
          <w:rFonts w:ascii="Times New Roman" w:eastAsiaTheme="minorEastAsia" w:hAnsiTheme="minorEastAsia"/>
          <w:sz w:val="21"/>
          <w:szCs w:val="21"/>
          <w:lang w:val="en-US"/>
        </w:rPr>
        <w:t>AA</w:t>
      </w:r>
      <w:r w:rsidRPr="00720880">
        <w:rPr>
          <w:rFonts w:ascii="Times New Roman" w:eastAsiaTheme="minorEastAsia" w:hAnsiTheme="minorEastAsia" w:hint="eastAsia"/>
          <w:sz w:val="21"/>
          <w:szCs w:val="21"/>
          <w:lang w:val="en-US"/>
        </w:rPr>
        <w:t>级或相当于</w:t>
      </w:r>
      <w:r w:rsidRPr="00720880">
        <w:rPr>
          <w:rFonts w:ascii="Times New Roman" w:eastAsiaTheme="minorEastAsia" w:hAnsiTheme="minorEastAsia"/>
          <w:sz w:val="21"/>
          <w:szCs w:val="21"/>
          <w:lang w:val="en-US"/>
        </w:rPr>
        <w:t>AA</w:t>
      </w:r>
      <w:r w:rsidRPr="00720880">
        <w:rPr>
          <w:rFonts w:ascii="Times New Roman" w:eastAsiaTheme="minorEastAsia" w:hAnsiTheme="minorEastAsia" w:hint="eastAsia"/>
          <w:sz w:val="21"/>
          <w:szCs w:val="21"/>
          <w:lang w:val="en-US"/>
        </w:rPr>
        <w:t>级的基础</w:t>
      </w:r>
      <w:r w:rsidRPr="00720880">
        <w:rPr>
          <w:rFonts w:ascii="Times New Roman" w:eastAsiaTheme="minorEastAsia" w:hAnsiTheme="minorEastAsia" w:hint="eastAsia"/>
          <w:sz w:val="21"/>
          <w:szCs w:val="21"/>
          <w:lang w:val="en-US"/>
        </w:rPr>
        <w:lastRenderedPageBreak/>
        <w:t>设施债权投资计划、项目资产支持计划和不动产投资计划等符合相关法律法规要求投资范围的基础资产。本投资账户各类资产投资比例限制为：流动性资产投资比例为账户总资产的</w:t>
      </w:r>
      <w:r w:rsidRPr="00720880">
        <w:rPr>
          <w:rFonts w:ascii="Times New Roman" w:eastAsiaTheme="minorEastAsia" w:hAnsiTheme="minorEastAsia"/>
          <w:sz w:val="21"/>
          <w:szCs w:val="21"/>
          <w:lang w:val="en-US"/>
        </w:rPr>
        <w:t>5-100%</w:t>
      </w:r>
      <w:r w:rsidRPr="00720880">
        <w:rPr>
          <w:rFonts w:ascii="Times New Roman" w:eastAsiaTheme="minorEastAsia" w:hAnsiTheme="minorEastAsia" w:hint="eastAsia"/>
          <w:sz w:val="21"/>
          <w:szCs w:val="21"/>
          <w:lang w:val="en-US"/>
        </w:rPr>
        <w:t>；固定收益类资产投资比例为账户总资产的</w:t>
      </w:r>
      <w:r w:rsidRPr="00720880">
        <w:rPr>
          <w:rFonts w:ascii="Times New Roman" w:eastAsiaTheme="minorEastAsia" w:hAnsiTheme="minorEastAsia"/>
          <w:sz w:val="21"/>
          <w:szCs w:val="21"/>
          <w:lang w:val="en-US"/>
        </w:rPr>
        <w:t>0-100%</w:t>
      </w:r>
      <w:r w:rsidRPr="00720880">
        <w:rPr>
          <w:rFonts w:ascii="Times New Roman" w:eastAsiaTheme="minorEastAsia" w:hAnsiTheme="minorEastAsia" w:hint="eastAsia"/>
          <w:sz w:val="21"/>
          <w:szCs w:val="21"/>
          <w:lang w:val="en-US"/>
        </w:rPr>
        <w:t>；基础设施投资计划、不动产相关金融产品和其他金融资产的投资比例为账户总资产的</w:t>
      </w:r>
      <w:r w:rsidRPr="00720880">
        <w:rPr>
          <w:rFonts w:ascii="Times New Roman" w:eastAsiaTheme="minorEastAsia" w:hAnsiTheme="minorEastAsia"/>
          <w:sz w:val="21"/>
          <w:szCs w:val="21"/>
          <w:lang w:val="en-US"/>
        </w:rPr>
        <w:t>0-75%</w:t>
      </w:r>
      <w:r w:rsidRPr="00720880">
        <w:rPr>
          <w:rFonts w:ascii="Times New Roman" w:eastAsiaTheme="minorEastAsia" w:hAnsiTheme="minorEastAsia" w:hint="eastAsia"/>
          <w:sz w:val="21"/>
          <w:szCs w:val="21"/>
          <w:lang w:val="en-US"/>
        </w:rPr>
        <w:t>，其中单一项目的投资比例不超过账户总资产的</w:t>
      </w:r>
      <w:r w:rsidRPr="00720880">
        <w:rPr>
          <w:rFonts w:ascii="Times New Roman" w:eastAsiaTheme="minorEastAsia" w:hAnsiTheme="minorEastAsia"/>
          <w:sz w:val="21"/>
          <w:szCs w:val="21"/>
          <w:lang w:val="en-US"/>
        </w:rPr>
        <w:t>50%</w:t>
      </w:r>
      <w:r w:rsidRPr="00720880">
        <w:rPr>
          <w:rFonts w:ascii="Times New Roman" w:eastAsiaTheme="minorEastAsia" w:hAnsiTheme="minorEastAsia" w:hint="eastAsia"/>
          <w:sz w:val="21"/>
          <w:szCs w:val="21"/>
          <w:lang w:val="en-US"/>
        </w:rPr>
        <w:t>。</w:t>
      </w:r>
    </w:p>
    <w:p w:rsidR="00720880" w:rsidRPr="00720880" w:rsidRDefault="00BE32F9" w:rsidP="00834180">
      <w:pPr>
        <w:spacing w:line="360" w:lineRule="auto"/>
        <w:ind w:firstLineChars="200" w:firstLine="420"/>
        <w:jc w:val="both"/>
        <w:rPr>
          <w:rFonts w:ascii="Times New Roman" w:eastAsiaTheme="minorEastAsia" w:hAnsiTheme="minorEastAsia"/>
          <w:sz w:val="21"/>
          <w:szCs w:val="21"/>
        </w:rPr>
      </w:pPr>
      <w:r>
        <w:rPr>
          <w:rFonts w:ascii="Times New Roman" w:eastAsiaTheme="minorEastAsia" w:hAnsiTheme="minorEastAsia" w:hint="eastAsia"/>
          <w:sz w:val="21"/>
          <w:szCs w:val="21"/>
        </w:rPr>
        <w:t>4</w:t>
      </w:r>
      <w:r w:rsidR="00720880" w:rsidRPr="00720880">
        <w:rPr>
          <w:rFonts w:ascii="Times New Roman" w:eastAsiaTheme="minorEastAsia" w:hAnsiTheme="minorEastAsia"/>
          <w:sz w:val="21"/>
          <w:szCs w:val="21"/>
        </w:rPr>
        <w:t>.</w:t>
      </w:r>
      <w:r w:rsidR="00720880" w:rsidRPr="00720880">
        <w:rPr>
          <w:rFonts w:ascii="Times New Roman" w:eastAsiaTheme="minorEastAsia" w:hAnsiTheme="minorEastAsia" w:hint="eastAsia"/>
          <w:sz w:val="21"/>
          <w:szCs w:val="21"/>
        </w:rPr>
        <w:t>业绩比较基准：</w:t>
      </w:r>
    </w:p>
    <w:p w:rsidR="00720880" w:rsidRPr="00F3357A" w:rsidRDefault="00720880" w:rsidP="00720880">
      <w:pPr>
        <w:spacing w:line="360" w:lineRule="auto"/>
        <w:ind w:firstLineChars="200" w:firstLine="420"/>
        <w:jc w:val="both"/>
        <w:rPr>
          <w:rFonts w:ascii="Times New Roman" w:eastAsiaTheme="minorEastAsia" w:hAnsiTheme="minorEastAsia"/>
          <w:sz w:val="21"/>
          <w:szCs w:val="21"/>
          <w:lang w:val="en-US"/>
        </w:rPr>
      </w:pPr>
      <w:r w:rsidRPr="00720880">
        <w:rPr>
          <w:rFonts w:ascii="Times New Roman" w:eastAsiaTheme="minorEastAsia" w:hAnsiTheme="minorEastAsia" w:hint="eastAsia"/>
          <w:sz w:val="21"/>
          <w:szCs w:val="21"/>
          <w:lang w:val="en-US"/>
        </w:rPr>
        <w:t>本投资账户的业绩比较基准为：</w:t>
      </w:r>
      <w:r w:rsidRPr="00720880">
        <w:rPr>
          <w:rFonts w:ascii="Times New Roman" w:eastAsiaTheme="minorEastAsia" w:hAnsiTheme="minorEastAsia"/>
          <w:sz w:val="21"/>
          <w:szCs w:val="21"/>
          <w:lang w:val="en-US"/>
        </w:rPr>
        <w:t>10%</w:t>
      </w:r>
      <w:r w:rsidRPr="00720880">
        <w:rPr>
          <w:rFonts w:ascii="Times New Roman" w:eastAsiaTheme="minorEastAsia" w:hAnsiTheme="minorEastAsia" w:hint="eastAsia"/>
          <w:sz w:val="21"/>
          <w:szCs w:val="21"/>
          <w:lang w:val="en-US"/>
        </w:rPr>
        <w:t>×一年期定期存款利率＋</w:t>
      </w:r>
      <w:r w:rsidRPr="00720880">
        <w:rPr>
          <w:rFonts w:ascii="Times New Roman" w:eastAsiaTheme="minorEastAsia" w:hAnsiTheme="minorEastAsia"/>
          <w:sz w:val="21"/>
          <w:szCs w:val="21"/>
          <w:lang w:val="en-US"/>
        </w:rPr>
        <w:t>50%</w:t>
      </w:r>
      <w:r w:rsidRPr="00720880">
        <w:rPr>
          <w:rFonts w:ascii="Times New Roman" w:eastAsiaTheme="minorEastAsia" w:hAnsiTheme="minorEastAsia" w:hint="eastAsia"/>
          <w:sz w:val="21"/>
          <w:szCs w:val="21"/>
          <w:lang w:val="en-US"/>
        </w:rPr>
        <w:t>×中债全价指数</w:t>
      </w:r>
      <w:r w:rsidRPr="00720880">
        <w:rPr>
          <w:rFonts w:ascii="Times New Roman" w:eastAsiaTheme="minorEastAsia" w:hAnsiTheme="minorEastAsia"/>
          <w:sz w:val="21"/>
          <w:szCs w:val="21"/>
          <w:lang w:val="en-US"/>
        </w:rPr>
        <w:t>+40%</w:t>
      </w:r>
      <w:r w:rsidRPr="00720880">
        <w:rPr>
          <w:rFonts w:ascii="Times New Roman" w:eastAsiaTheme="minorEastAsia" w:hAnsiTheme="minorEastAsia" w:hint="eastAsia"/>
          <w:sz w:val="21"/>
          <w:szCs w:val="21"/>
          <w:lang w:val="en-US"/>
        </w:rPr>
        <w:t>×银行人民币五年以上贷款利率×</w:t>
      </w:r>
      <w:r w:rsidRPr="00720880">
        <w:rPr>
          <w:rFonts w:ascii="Times New Roman" w:eastAsiaTheme="minorEastAsia" w:hAnsiTheme="minorEastAsia"/>
          <w:sz w:val="21"/>
          <w:szCs w:val="21"/>
          <w:lang w:val="en-US"/>
        </w:rPr>
        <w:t>140%</w:t>
      </w:r>
      <w:r w:rsidRPr="00720880">
        <w:rPr>
          <w:rFonts w:ascii="Times New Roman" w:eastAsiaTheme="minorEastAsia" w:hAnsiTheme="minorEastAsia" w:hint="eastAsia"/>
          <w:sz w:val="21"/>
          <w:szCs w:val="21"/>
          <w:lang w:val="en-US"/>
        </w:rPr>
        <w:t>。</w:t>
      </w:r>
    </w:p>
    <w:p w:rsidR="00834180" w:rsidRDefault="00BE32F9" w:rsidP="00834180">
      <w:pPr>
        <w:spacing w:line="360" w:lineRule="auto"/>
        <w:ind w:firstLineChars="200" w:firstLine="420"/>
        <w:jc w:val="both"/>
        <w:rPr>
          <w:rFonts w:ascii="Times New Roman" w:eastAsiaTheme="minorEastAsia" w:hAnsiTheme="minorEastAsia"/>
          <w:sz w:val="21"/>
          <w:szCs w:val="21"/>
        </w:rPr>
      </w:pPr>
      <w:r>
        <w:rPr>
          <w:rFonts w:ascii="Times New Roman" w:eastAsiaTheme="minorEastAsia" w:hAnsiTheme="minorEastAsia" w:hint="eastAsia"/>
          <w:sz w:val="21"/>
          <w:szCs w:val="21"/>
        </w:rPr>
        <w:t>5</w:t>
      </w:r>
      <w:r w:rsidR="00834180" w:rsidRPr="00834180">
        <w:rPr>
          <w:rFonts w:ascii="Times New Roman" w:eastAsiaTheme="minorEastAsia" w:hAnsiTheme="minorEastAsia"/>
          <w:sz w:val="21"/>
          <w:szCs w:val="21"/>
        </w:rPr>
        <w:t>.</w:t>
      </w:r>
      <w:r w:rsidR="00834180" w:rsidRPr="00834180">
        <w:rPr>
          <w:rFonts w:ascii="Times New Roman" w:eastAsiaTheme="minorEastAsia" w:hAnsiTheme="minorEastAsia" w:hint="eastAsia"/>
          <w:sz w:val="21"/>
          <w:szCs w:val="21"/>
        </w:rPr>
        <w:t>流动性管理方案：</w:t>
      </w:r>
    </w:p>
    <w:p w:rsidR="00834180" w:rsidRP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从投资角度出发，针对本账户可能出现的流动性风险，包括本账户资产不能迅速转变成现金，或者转变成现金会对账户资产价格造成重大不利影响的风险，管理人应提前对可能出现流动性风险预警并做出相应流动性安排，具体措施如下：</w:t>
      </w:r>
    </w:p>
    <w:p w:rsidR="00834180" w:rsidRP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w:t>
      </w:r>
      <w:r w:rsidRPr="00834180">
        <w:rPr>
          <w:rFonts w:ascii="Times New Roman" w:eastAsiaTheme="minorEastAsia" w:hAnsiTheme="minorEastAsia"/>
          <w:sz w:val="21"/>
          <w:szCs w:val="21"/>
          <w:lang w:val="en-US"/>
        </w:rPr>
        <w:t>1</w:t>
      </w:r>
      <w:r w:rsidRPr="00834180">
        <w:rPr>
          <w:rFonts w:ascii="Times New Roman" w:eastAsiaTheme="minorEastAsia" w:hAnsiTheme="minorEastAsia" w:hint="eastAsia"/>
          <w:sz w:val="21"/>
          <w:szCs w:val="21"/>
          <w:lang w:val="en-US"/>
        </w:rPr>
        <w:t>）为防止因投保人退出规模较大导致账户资产无法变现或变现成本过高的流动性风险，账户资产至少保有</w:t>
      </w:r>
      <w:r w:rsidRPr="00834180">
        <w:rPr>
          <w:rFonts w:ascii="Times New Roman" w:eastAsiaTheme="minorEastAsia" w:hAnsiTheme="minorEastAsia"/>
          <w:sz w:val="21"/>
          <w:szCs w:val="21"/>
          <w:lang w:val="en-US"/>
        </w:rPr>
        <w:t>5%</w:t>
      </w:r>
      <w:r w:rsidRPr="00834180">
        <w:rPr>
          <w:rFonts w:ascii="Times New Roman" w:eastAsiaTheme="minorEastAsia" w:hAnsiTheme="minorEastAsia" w:hint="eastAsia"/>
          <w:sz w:val="21"/>
          <w:szCs w:val="21"/>
          <w:lang w:val="en-US"/>
        </w:rPr>
        <w:t>或以上流动性资产，包括现金、银行存款、货币市场基金、剩余期限在一年以内债券、短期银行理财、现金类信托等，以保证账户资产具有较好变现能力，以备不时之需；</w:t>
      </w:r>
    </w:p>
    <w:p w:rsid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w:t>
      </w:r>
      <w:r w:rsidRPr="00834180">
        <w:rPr>
          <w:rFonts w:ascii="Times New Roman" w:eastAsiaTheme="minorEastAsia" w:hAnsiTheme="minorEastAsia"/>
          <w:sz w:val="21"/>
          <w:szCs w:val="21"/>
          <w:lang w:val="en-US"/>
        </w:rPr>
        <w:t>2</w:t>
      </w:r>
      <w:r w:rsidRPr="00834180">
        <w:rPr>
          <w:rFonts w:ascii="Times New Roman" w:eastAsiaTheme="minorEastAsia" w:hAnsiTheme="minorEastAsia" w:hint="eastAsia"/>
          <w:sz w:val="21"/>
          <w:szCs w:val="21"/>
          <w:lang w:val="en-US"/>
        </w:rPr>
        <w:t>）为应对可能发生的流动性风险，管理人应对市场资金面较为准确预测，及时与市场机构成员保持密切沟通，通过债券回购等方式融入短期资金以确保投保人退出及时得以支付；</w:t>
      </w:r>
    </w:p>
    <w:p w:rsid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w:t>
      </w:r>
      <w:r w:rsidRPr="00834180">
        <w:rPr>
          <w:rFonts w:ascii="Times New Roman" w:eastAsiaTheme="minorEastAsia" w:hAnsiTheme="minorEastAsia"/>
          <w:sz w:val="21"/>
          <w:szCs w:val="21"/>
          <w:lang w:val="en-US"/>
        </w:rPr>
        <w:t>3</w:t>
      </w:r>
      <w:r w:rsidRPr="00834180">
        <w:rPr>
          <w:rFonts w:ascii="Times New Roman" w:eastAsiaTheme="minorEastAsia" w:hAnsiTheme="minorEastAsia" w:hint="eastAsia"/>
          <w:sz w:val="21"/>
          <w:szCs w:val="21"/>
          <w:lang w:val="en-US"/>
        </w:rPr>
        <w:t>）对投资账户设计巨额退出制度，当单个开放日累计净退出额超过</w:t>
      </w:r>
      <w:r w:rsidRPr="00834180">
        <w:rPr>
          <w:rFonts w:ascii="Times New Roman" w:eastAsiaTheme="minorEastAsia" w:hAnsiTheme="minorEastAsia"/>
          <w:sz w:val="21"/>
          <w:szCs w:val="21"/>
          <w:lang w:val="en-US"/>
        </w:rPr>
        <w:t>10%</w:t>
      </w:r>
      <w:r w:rsidRPr="00834180">
        <w:rPr>
          <w:rFonts w:ascii="Times New Roman" w:eastAsiaTheme="minorEastAsia" w:hAnsiTheme="minorEastAsia" w:hint="eastAsia"/>
          <w:sz w:val="21"/>
          <w:szCs w:val="21"/>
          <w:lang w:val="en-US"/>
        </w:rPr>
        <w:t>时，将进行顺延退出或暂停退出，给其他资产变现留下充足时间，减少变现损失。</w:t>
      </w:r>
    </w:p>
    <w:p w:rsidR="009B5BF8" w:rsidRPr="00834180" w:rsidRDefault="00BE32F9" w:rsidP="00834180">
      <w:pPr>
        <w:spacing w:line="360" w:lineRule="auto"/>
        <w:ind w:firstLineChars="200" w:firstLine="420"/>
        <w:jc w:val="both"/>
        <w:rPr>
          <w:rFonts w:ascii="Times New Roman" w:eastAsiaTheme="minorEastAsia"/>
          <w:sz w:val="20"/>
          <w:szCs w:val="20"/>
        </w:rPr>
      </w:pPr>
      <w:r>
        <w:rPr>
          <w:rFonts w:ascii="Times New Roman" w:eastAsiaTheme="minorEastAsia" w:hAnsi="Times New Roman" w:hint="eastAsia"/>
          <w:sz w:val="21"/>
          <w:szCs w:val="21"/>
        </w:rPr>
        <w:t>6</w:t>
      </w:r>
      <w:r w:rsidR="00CC5E23" w:rsidRPr="00F3357A">
        <w:rPr>
          <w:rFonts w:ascii="Times New Roman" w:eastAsiaTheme="minorEastAsia" w:hAnsiTheme="minorEastAsia" w:hint="eastAsia"/>
          <w:sz w:val="21"/>
          <w:szCs w:val="21"/>
        </w:rPr>
        <w:t>、</w:t>
      </w:r>
      <w:r w:rsidR="00834180" w:rsidRPr="00834180">
        <w:rPr>
          <w:rFonts w:ascii="Times New Roman" w:eastAsiaTheme="minorEastAsia" w:hAnsiTheme="minorEastAsia" w:hint="eastAsia"/>
          <w:sz w:val="21"/>
          <w:szCs w:val="21"/>
        </w:rPr>
        <w:t>主要投资风险：</w:t>
      </w:r>
    </w:p>
    <w:p w:rsidR="00834180" w:rsidRP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市场风险、信用风险、流动性风险及管理操作风险。</w:t>
      </w:r>
    </w:p>
    <w:p w:rsidR="00834180" w:rsidRPr="00834180"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hint="eastAsia"/>
          <w:sz w:val="21"/>
          <w:szCs w:val="21"/>
          <w:lang w:val="en-US"/>
        </w:rPr>
        <w:t>（</w:t>
      </w:r>
      <w:r w:rsidRPr="00834180">
        <w:rPr>
          <w:rFonts w:ascii="Times New Roman" w:eastAsiaTheme="minorEastAsia" w:hAnsiTheme="minorEastAsia"/>
          <w:sz w:val="21"/>
          <w:szCs w:val="21"/>
          <w:lang w:val="en-US"/>
        </w:rPr>
        <w:t>1</w:t>
      </w:r>
      <w:r w:rsidRPr="00834180">
        <w:rPr>
          <w:rFonts w:ascii="Times New Roman" w:eastAsiaTheme="minorEastAsia" w:hAnsiTheme="minorEastAsia" w:hint="eastAsia"/>
          <w:sz w:val="21"/>
          <w:szCs w:val="21"/>
          <w:lang w:val="en-US"/>
        </w:rPr>
        <w:t>）市场风险，是指金融市场受基本面、政策面、资金面等各种因素的影响不断变化，使本账户投资品种价格发生波动，从而导致本账户收益水平也发生变化，产生潜在风险，主要包括：</w:t>
      </w:r>
    </w:p>
    <w:p w:rsidR="00834180" w:rsidRPr="00914CD8" w:rsidRDefault="00834180" w:rsidP="00834180">
      <w:pPr>
        <w:spacing w:line="360" w:lineRule="auto"/>
        <w:ind w:firstLineChars="200" w:firstLine="420"/>
        <w:jc w:val="both"/>
        <w:rPr>
          <w:rFonts w:ascii="Times New Roman" w:eastAsiaTheme="minorEastAsia" w:hAnsiTheme="minorEastAsia"/>
          <w:sz w:val="21"/>
          <w:szCs w:val="21"/>
          <w:lang w:val="en-US"/>
        </w:rPr>
      </w:pPr>
      <w:r w:rsidRPr="00834180">
        <w:rPr>
          <w:rFonts w:ascii="Times New Roman" w:eastAsiaTheme="minorEastAsia" w:hAnsiTheme="minorEastAsia"/>
          <w:sz w:val="21"/>
          <w:szCs w:val="21"/>
          <w:lang w:val="en-US"/>
        </w:rPr>
        <w:t>1</w:t>
      </w:r>
      <w:r w:rsidRPr="00834180">
        <w:rPr>
          <w:rFonts w:ascii="Times New Roman" w:eastAsiaTheme="minorEastAsia" w:hAnsiTheme="minorEastAsia" w:hint="eastAsia"/>
          <w:sz w:val="21"/>
          <w:szCs w:val="21"/>
          <w:lang w:val="en-US"/>
        </w:rPr>
        <w:t>）政策风险</w:t>
      </w:r>
      <w:r w:rsidR="00C226A8">
        <w:rPr>
          <w:rFonts w:ascii="Times New Roman" w:eastAsiaTheme="minorEastAsia" w:hAnsiTheme="minorEastAsia" w:hint="eastAsia"/>
          <w:sz w:val="21"/>
          <w:szCs w:val="21"/>
          <w:lang w:val="en-US"/>
        </w:rPr>
        <w:t>，</w:t>
      </w:r>
      <w:r w:rsidRPr="00834180">
        <w:rPr>
          <w:rFonts w:ascii="Times New Roman" w:eastAsiaTheme="minorEastAsia" w:hAnsiTheme="minorEastAsia" w:hint="eastAsia"/>
          <w:sz w:val="21"/>
          <w:szCs w:val="21"/>
          <w:lang w:val="en-US"/>
        </w:rPr>
        <w:t>是指货币政策、财政政策、产业政策、地区发展政策等国家政策的变化对证券市场产生一定的影响，导致市场价格波</w:t>
      </w:r>
      <w:r w:rsidRPr="00914CD8">
        <w:rPr>
          <w:rFonts w:ascii="Times New Roman" w:eastAsiaTheme="minorEastAsia" w:hAnsiTheme="minorEastAsia" w:hint="eastAsia"/>
          <w:sz w:val="21"/>
          <w:szCs w:val="21"/>
          <w:lang w:val="en-US"/>
        </w:rPr>
        <w:t>动，影响账户收益而产生风险。</w:t>
      </w:r>
    </w:p>
    <w:p w:rsidR="00074FBE"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sz w:val="21"/>
          <w:szCs w:val="21"/>
          <w:lang w:val="en-US"/>
        </w:rPr>
        <w:t>2</w:t>
      </w:r>
      <w:r w:rsidRPr="00914CD8">
        <w:rPr>
          <w:rFonts w:ascii="Times New Roman" w:eastAsiaTheme="minorEastAsia" w:hAnsiTheme="minorEastAsia" w:hint="eastAsia"/>
          <w:sz w:val="21"/>
          <w:szCs w:val="21"/>
          <w:lang w:val="en-US"/>
        </w:rPr>
        <w:t>）经济周期风险，是指证券市场是国民经济的晴雨表，而经济运行具有周期性的特点。宏观经济运行状况将对证券市场的收益水平产生影响，从而产生风险。</w:t>
      </w:r>
    </w:p>
    <w:p w:rsidR="00834180"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sz w:val="21"/>
          <w:szCs w:val="21"/>
          <w:lang w:val="en-US"/>
        </w:rPr>
        <w:lastRenderedPageBreak/>
        <w:t>3</w:t>
      </w:r>
      <w:r w:rsidRPr="00914CD8">
        <w:rPr>
          <w:rFonts w:ascii="Times New Roman" w:eastAsiaTheme="minorEastAsia" w:hAnsiTheme="minorEastAsia" w:hint="eastAsia"/>
          <w:sz w:val="21"/>
          <w:szCs w:val="21"/>
          <w:lang w:val="en-US"/>
        </w:rPr>
        <w:t>）利率风险，是指金融市场利率波动会导致债券市场的价格和收益率的变动，同时直接影响企业的融资成本和利润水平。本账户投资于债券，收益水平会受到利率变化的影响，从而产生风险。</w:t>
      </w:r>
    </w:p>
    <w:p w:rsidR="00074FBE"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sz w:val="21"/>
          <w:szCs w:val="21"/>
          <w:lang w:val="en-US"/>
        </w:rPr>
        <w:t>4</w:t>
      </w:r>
      <w:r w:rsidRPr="00914CD8">
        <w:rPr>
          <w:rFonts w:ascii="Times New Roman" w:eastAsiaTheme="minorEastAsia" w:hAnsiTheme="minorEastAsia" w:hint="eastAsia"/>
          <w:sz w:val="21"/>
          <w:szCs w:val="21"/>
          <w:lang w:val="en-US"/>
        </w:rPr>
        <w:t>）再投资风险，是指由于金融市场利率下降造成的无法通过再投资而实现预期收益的风险。</w:t>
      </w:r>
    </w:p>
    <w:p w:rsidR="00834180"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sz w:val="21"/>
          <w:szCs w:val="21"/>
          <w:lang w:val="en-US"/>
        </w:rPr>
        <w:t>5</w:t>
      </w:r>
      <w:r w:rsidRPr="00914CD8">
        <w:rPr>
          <w:rFonts w:ascii="Times New Roman" w:eastAsiaTheme="minorEastAsia" w:hAnsiTheme="minorEastAsia" w:hint="eastAsia"/>
          <w:sz w:val="21"/>
          <w:szCs w:val="21"/>
          <w:lang w:val="en-US"/>
        </w:rPr>
        <w:t>）产品业绩风险，是指所投资的基金、银行理财等产品由于其管理人的投资失误，造成业绩下降，也会影响到本账户的收益率。</w:t>
      </w:r>
    </w:p>
    <w:p w:rsidR="00834180"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sz w:val="21"/>
          <w:szCs w:val="21"/>
          <w:lang w:val="en-US"/>
        </w:rPr>
        <w:t>6</w:t>
      </w:r>
      <w:r w:rsidRPr="00914CD8">
        <w:rPr>
          <w:rFonts w:ascii="Times New Roman" w:eastAsiaTheme="minorEastAsia" w:hAnsiTheme="minorEastAsia" w:hint="eastAsia"/>
          <w:sz w:val="21"/>
          <w:szCs w:val="21"/>
          <w:lang w:val="en-US"/>
        </w:rPr>
        <w:t>）购买力风险，是指因本账户投资的目的是使账户资产保值增值，如果发生通货膨胀，账户投资于证券所获得的收益可能会被通货膨胀抵消，从而影响账户资产的保值增值的风险。</w:t>
      </w:r>
    </w:p>
    <w:p w:rsidR="00834180"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hint="eastAsia"/>
          <w:sz w:val="21"/>
          <w:szCs w:val="21"/>
          <w:lang w:val="en-US"/>
        </w:rPr>
        <w:t>（</w:t>
      </w:r>
      <w:r w:rsidRPr="00914CD8">
        <w:rPr>
          <w:rFonts w:ascii="Times New Roman" w:eastAsiaTheme="minorEastAsia" w:hAnsiTheme="minorEastAsia"/>
          <w:sz w:val="21"/>
          <w:szCs w:val="21"/>
          <w:lang w:val="en-US"/>
        </w:rPr>
        <w:t>2</w:t>
      </w:r>
      <w:r w:rsidRPr="00914CD8">
        <w:rPr>
          <w:rFonts w:ascii="Times New Roman" w:eastAsiaTheme="minorEastAsia" w:hAnsiTheme="minorEastAsia" w:hint="eastAsia"/>
          <w:sz w:val="21"/>
          <w:szCs w:val="21"/>
          <w:lang w:val="en-US"/>
        </w:rPr>
        <w:t>）信用风险，是指本账户在交易过程中发生交收违约，或者本账户所投资证券之发行人出现违约、拒绝支付，造成本账户资产损失的风险。本账户投资的企业债、公司债、银行理财、信托产品等，存在发行人无法支付到期本息的风险；在交易过程中可能发生交收违约或者所投资产品的发行人倒闭、信用评级被降低、违约、拒绝支付到期本息的情况，从而导致本账户资产损失。</w:t>
      </w:r>
    </w:p>
    <w:p w:rsidR="00914CD8"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hint="eastAsia"/>
          <w:sz w:val="21"/>
          <w:szCs w:val="21"/>
          <w:lang w:val="en-US"/>
        </w:rPr>
        <w:t>（</w:t>
      </w:r>
      <w:r w:rsidRPr="00914CD8">
        <w:rPr>
          <w:rFonts w:ascii="Times New Roman" w:eastAsiaTheme="minorEastAsia" w:hAnsiTheme="minorEastAsia"/>
          <w:sz w:val="21"/>
          <w:szCs w:val="21"/>
          <w:lang w:val="en-US"/>
        </w:rPr>
        <w:t>3</w:t>
      </w:r>
      <w:r w:rsidRPr="00914CD8">
        <w:rPr>
          <w:rFonts w:ascii="Times New Roman" w:eastAsiaTheme="minorEastAsia" w:hAnsiTheme="minorEastAsia" w:hint="eastAsia"/>
          <w:sz w:val="21"/>
          <w:szCs w:val="21"/>
          <w:lang w:val="en-US"/>
        </w:rPr>
        <w:t>）流动性风险，主要是指本账户资产不能迅速转变成现金，或者转变成现金会对账户资产价格造成重大不利影响的风险。在账户存续期间，可能会发生个别偶然事件，如出现巨额退出的情形，短时间投保人大量退出或出现账户到期时，证券资产无法变现的情况，上述情形的发生在特殊情况时可能会出现交易量急剧减少或市场资金面紧张等情形，此时出现巨额退出，则可能会导致账户资产变现困难，从而产生流动性风险，甚至影响本账户份额净值。</w:t>
      </w:r>
    </w:p>
    <w:p w:rsidR="00B249DC" w:rsidRPr="00914CD8" w:rsidRDefault="00834180" w:rsidP="00914CD8">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hint="eastAsia"/>
          <w:sz w:val="21"/>
          <w:szCs w:val="21"/>
          <w:lang w:val="en-US"/>
        </w:rPr>
        <w:t>（</w:t>
      </w:r>
      <w:r w:rsidRPr="00914CD8">
        <w:rPr>
          <w:rFonts w:ascii="Times New Roman" w:eastAsiaTheme="minorEastAsia" w:hAnsiTheme="minorEastAsia"/>
          <w:sz w:val="21"/>
          <w:szCs w:val="21"/>
          <w:lang w:val="en-US"/>
        </w:rPr>
        <w:t>4</w:t>
      </w:r>
      <w:r w:rsidRPr="00914CD8">
        <w:rPr>
          <w:rFonts w:ascii="Times New Roman" w:eastAsiaTheme="minorEastAsia" w:hAnsiTheme="minorEastAsia" w:hint="eastAsia"/>
          <w:sz w:val="21"/>
          <w:szCs w:val="21"/>
          <w:lang w:val="en-US"/>
        </w:rPr>
        <w:t>）管理操作风险，是指因本账户为动态管理的投资组合而存在管理的风险。在账户管理运作过程中，可能因管理人对经济形势和证券市场等判断有误、获取的信息不全等影响账户的收益水平。管理人和托管人的管理水平、管理手段和管理技术等对账户收益水平存在影响。管理人的相关当事人在业务各环节操作过程中，因内部控制存在缺陷等因素造成操作失误或违反操作规程等所引致的风险，例如，越权违规交易、会计部门欺诈、交易错误、</w:t>
      </w:r>
      <w:r w:rsidRPr="00914CD8">
        <w:rPr>
          <w:rFonts w:ascii="Times New Roman" w:eastAsiaTheme="minorEastAsia" w:hAnsiTheme="minorEastAsia"/>
          <w:sz w:val="21"/>
          <w:szCs w:val="21"/>
          <w:lang w:val="en-US"/>
        </w:rPr>
        <w:t>IT</w:t>
      </w:r>
      <w:r w:rsidRPr="00914CD8">
        <w:rPr>
          <w:rFonts w:ascii="Times New Roman" w:eastAsiaTheme="minorEastAsia" w:hAnsiTheme="minorEastAsia" w:hint="eastAsia"/>
          <w:sz w:val="21"/>
          <w:szCs w:val="21"/>
          <w:lang w:val="en-US"/>
        </w:rPr>
        <w:t>系统故障等风险。</w:t>
      </w:r>
    </w:p>
    <w:p w:rsidR="00914CD8" w:rsidRPr="00834180" w:rsidRDefault="00BE32F9" w:rsidP="00914CD8">
      <w:pPr>
        <w:spacing w:line="360" w:lineRule="auto"/>
        <w:ind w:firstLineChars="200" w:firstLine="420"/>
        <w:jc w:val="both"/>
        <w:rPr>
          <w:rFonts w:ascii="Times New Roman" w:eastAsiaTheme="minorEastAsia"/>
          <w:sz w:val="20"/>
          <w:szCs w:val="20"/>
        </w:rPr>
      </w:pPr>
      <w:r>
        <w:rPr>
          <w:rFonts w:ascii="Times New Roman" w:eastAsiaTheme="minorEastAsia" w:hAnsi="Times New Roman" w:hint="eastAsia"/>
          <w:sz w:val="21"/>
          <w:szCs w:val="21"/>
        </w:rPr>
        <w:t>7</w:t>
      </w:r>
      <w:r w:rsidR="00914CD8" w:rsidRPr="00F3357A">
        <w:rPr>
          <w:rFonts w:ascii="Times New Roman" w:eastAsiaTheme="minorEastAsia" w:hAnsiTheme="minorEastAsia" w:hint="eastAsia"/>
          <w:sz w:val="21"/>
          <w:szCs w:val="21"/>
        </w:rPr>
        <w:t>、</w:t>
      </w:r>
      <w:r w:rsidR="00914CD8" w:rsidRPr="00914CD8">
        <w:rPr>
          <w:rFonts w:ascii="Times New Roman" w:eastAsiaTheme="minorEastAsia" w:hAnsiTheme="minorEastAsia" w:hint="eastAsia"/>
          <w:sz w:val="21"/>
          <w:szCs w:val="21"/>
        </w:rPr>
        <w:t>资产托管情况</w:t>
      </w:r>
      <w:r w:rsidR="00914CD8" w:rsidRPr="00834180">
        <w:rPr>
          <w:rFonts w:ascii="Times New Roman" w:eastAsiaTheme="minorEastAsia" w:hAnsiTheme="minorEastAsia" w:hint="eastAsia"/>
          <w:sz w:val="21"/>
          <w:szCs w:val="21"/>
        </w:rPr>
        <w:t>：</w:t>
      </w:r>
    </w:p>
    <w:p w:rsidR="00914CD8" w:rsidRDefault="00914CD8" w:rsidP="00F64BBE">
      <w:pPr>
        <w:spacing w:line="360" w:lineRule="auto"/>
        <w:ind w:firstLineChars="200" w:firstLine="420"/>
        <w:jc w:val="both"/>
        <w:rPr>
          <w:rFonts w:ascii="Times New Roman" w:eastAsiaTheme="minorEastAsia" w:hAnsiTheme="minorEastAsia"/>
          <w:sz w:val="21"/>
          <w:szCs w:val="21"/>
          <w:lang w:val="en-US"/>
        </w:rPr>
      </w:pPr>
      <w:r w:rsidRPr="00914CD8">
        <w:rPr>
          <w:rFonts w:ascii="Times New Roman" w:eastAsiaTheme="minorEastAsia" w:hAnsiTheme="minorEastAsia" w:hint="eastAsia"/>
          <w:sz w:val="21"/>
          <w:szCs w:val="21"/>
          <w:lang w:val="en-US"/>
        </w:rPr>
        <w:t>本投资账户全部资产由具有保险资金托管资质的中国农业银行实施第三方托管。</w:t>
      </w:r>
    </w:p>
    <w:p w:rsidR="00DF2409" w:rsidRDefault="00DF2409" w:rsidP="00F64BBE">
      <w:pPr>
        <w:spacing w:line="360" w:lineRule="auto"/>
        <w:ind w:firstLineChars="200" w:firstLine="420"/>
        <w:jc w:val="both"/>
        <w:rPr>
          <w:rFonts w:ascii="Times New Roman" w:eastAsiaTheme="minorEastAsia" w:hAnsiTheme="minorEastAsia"/>
          <w:sz w:val="21"/>
          <w:szCs w:val="21"/>
          <w:lang w:val="en-US"/>
        </w:rPr>
      </w:pPr>
    </w:p>
    <w:p w:rsidR="00DF2409" w:rsidRPr="00F64BBE" w:rsidRDefault="00DF2409" w:rsidP="00F64BBE">
      <w:pPr>
        <w:spacing w:line="360" w:lineRule="auto"/>
        <w:ind w:firstLineChars="200" w:firstLine="420"/>
        <w:jc w:val="both"/>
        <w:rPr>
          <w:rFonts w:ascii="Times New Roman" w:eastAsiaTheme="minorEastAsia" w:hAnsiTheme="minorEastAsia"/>
          <w:sz w:val="21"/>
          <w:szCs w:val="21"/>
          <w:lang w:val="en-US"/>
        </w:rPr>
      </w:pPr>
    </w:p>
    <w:p w:rsidR="00CC5E23" w:rsidRPr="00CC5E23" w:rsidRDefault="00CC5E23" w:rsidP="00CC5E23">
      <w:pPr>
        <w:pStyle w:val="Default"/>
        <w:spacing w:line="360" w:lineRule="auto"/>
        <w:ind w:firstLineChars="196" w:firstLine="413"/>
        <w:jc w:val="both"/>
        <w:rPr>
          <w:rFonts w:ascii="Times New Roman" w:eastAsiaTheme="minorEastAsia" w:cs="Times New Roman"/>
          <w:b/>
          <w:sz w:val="21"/>
          <w:szCs w:val="21"/>
        </w:rPr>
      </w:pPr>
      <w:r w:rsidRPr="00CC5E23">
        <w:rPr>
          <w:rFonts w:ascii="Times New Roman" w:eastAsiaTheme="minorEastAsia" w:hAnsiTheme="minorEastAsia" w:cs="Times New Roman" w:hint="eastAsia"/>
          <w:b/>
          <w:sz w:val="21"/>
          <w:szCs w:val="21"/>
        </w:rPr>
        <w:lastRenderedPageBreak/>
        <w:t>二、业绩情况概览</w:t>
      </w:r>
    </w:p>
    <w:p w:rsidR="00F154AC" w:rsidRPr="001F0A72" w:rsidRDefault="00CC5E23" w:rsidP="00F154AC">
      <w:pPr>
        <w:spacing w:line="360" w:lineRule="auto"/>
        <w:jc w:val="right"/>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单位：元</w:t>
      </w:r>
    </w:p>
    <w:tbl>
      <w:tblPr>
        <w:tblW w:w="8396" w:type="dxa"/>
        <w:jc w:val="center"/>
        <w:tblInd w:w="97" w:type="dxa"/>
        <w:tblBorders>
          <w:top w:val="single" w:sz="4" w:space="0" w:color="auto"/>
          <w:bottom w:val="single" w:sz="4" w:space="0" w:color="auto"/>
          <w:insideH w:val="single" w:sz="4" w:space="0" w:color="auto"/>
          <w:insideV w:val="single" w:sz="4" w:space="0" w:color="auto"/>
        </w:tblBorders>
        <w:tblLook w:val="04A0"/>
      </w:tblPr>
      <w:tblGrid>
        <w:gridCol w:w="2283"/>
        <w:gridCol w:w="6113"/>
      </w:tblGrid>
      <w:tr w:rsidR="00B249DC" w:rsidRPr="001F0A72" w:rsidTr="009C62B9">
        <w:trPr>
          <w:trHeight w:val="283"/>
          <w:jc w:val="center"/>
        </w:trPr>
        <w:tc>
          <w:tcPr>
            <w:tcW w:w="228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资产评估日</w:t>
            </w:r>
          </w:p>
        </w:tc>
        <w:tc>
          <w:tcPr>
            <w:tcW w:w="6113" w:type="dxa"/>
            <w:shd w:val="clear" w:color="auto" w:fill="auto"/>
            <w:noWrap/>
            <w:vAlign w:val="center"/>
            <w:hideMark/>
          </w:tcPr>
          <w:p w:rsidR="00DD739D" w:rsidRDefault="00CC5E23">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国华</w:t>
            </w:r>
            <w:r w:rsidR="00415A0B">
              <w:rPr>
                <w:rFonts w:ascii="Times New Roman" w:eastAsiaTheme="minorEastAsia" w:hAnsiTheme="minorEastAsia" w:hint="eastAsia"/>
                <w:color w:val="000000"/>
                <w:sz w:val="21"/>
                <w:szCs w:val="21"/>
                <w:lang w:val="en-US"/>
              </w:rPr>
              <w:t>1</w:t>
            </w:r>
            <w:r w:rsidR="00415A0B">
              <w:rPr>
                <w:rFonts w:ascii="Times New Roman" w:eastAsiaTheme="minorEastAsia" w:hAnsiTheme="minorEastAsia" w:hint="eastAsia"/>
                <w:color w:val="000000"/>
                <w:sz w:val="21"/>
                <w:szCs w:val="21"/>
                <w:lang w:val="en-US"/>
              </w:rPr>
              <w:t>号</w:t>
            </w:r>
            <w:r w:rsidR="008E587C">
              <w:rPr>
                <w:rFonts w:ascii="Times New Roman" w:eastAsiaTheme="minorEastAsia" w:hAnsiTheme="minorEastAsia" w:hint="eastAsia"/>
                <w:color w:val="000000"/>
                <w:sz w:val="21"/>
                <w:szCs w:val="21"/>
                <w:lang w:val="en-US"/>
              </w:rPr>
              <w:t>保守</w:t>
            </w:r>
            <w:r w:rsidRPr="00CC5E23">
              <w:rPr>
                <w:rFonts w:ascii="Times New Roman" w:eastAsiaTheme="minorEastAsia" w:hAnsiTheme="minorEastAsia" w:hint="eastAsia"/>
                <w:color w:val="000000"/>
                <w:sz w:val="21"/>
                <w:szCs w:val="21"/>
                <w:lang w:val="en-US"/>
              </w:rPr>
              <w:t>型投资账户卖出价格</w:t>
            </w:r>
          </w:p>
        </w:tc>
      </w:tr>
      <w:tr w:rsidR="00257888" w:rsidRPr="001F0A72" w:rsidTr="009C62B9">
        <w:trPr>
          <w:trHeight w:val="299"/>
          <w:jc w:val="center"/>
        </w:trPr>
        <w:tc>
          <w:tcPr>
            <w:tcW w:w="2283" w:type="dxa"/>
            <w:shd w:val="clear" w:color="auto" w:fill="auto"/>
            <w:noWrap/>
            <w:vAlign w:val="center"/>
            <w:hideMark/>
          </w:tcPr>
          <w:p w:rsidR="00257888" w:rsidRPr="001F0A72" w:rsidRDefault="00257888" w:rsidP="00B249DC">
            <w:pPr>
              <w:jc w:val="center"/>
              <w:rPr>
                <w:rFonts w:ascii="Times New Roman" w:eastAsiaTheme="minorEastAsia" w:hAnsi="Times New Roman"/>
                <w:color w:val="000000"/>
                <w:sz w:val="21"/>
                <w:szCs w:val="21"/>
                <w:lang w:val="en-US"/>
              </w:rPr>
            </w:pPr>
            <w:r w:rsidRPr="00CC5E23">
              <w:rPr>
                <w:rFonts w:ascii="Times New Roman" w:eastAsiaTheme="minorEastAsia" w:hAnsi="Times New Roman"/>
                <w:color w:val="000000"/>
                <w:sz w:val="21"/>
                <w:szCs w:val="21"/>
                <w:lang w:val="en-US"/>
              </w:rPr>
              <w:t>201</w:t>
            </w:r>
            <w:r w:rsidR="00415A0B">
              <w:rPr>
                <w:rFonts w:ascii="Times New Roman" w:eastAsiaTheme="minorEastAsia" w:hAnsi="Times New Roman" w:hint="eastAsia"/>
                <w:color w:val="000000"/>
                <w:sz w:val="21"/>
                <w:szCs w:val="21"/>
                <w:lang w:val="en-US"/>
              </w:rPr>
              <w:t>6</w:t>
            </w:r>
            <w:r w:rsidRPr="00CC5E23">
              <w:rPr>
                <w:rFonts w:ascii="Times New Roman" w:eastAsiaTheme="minorEastAsia" w:hAnsi="Times New Roman"/>
                <w:color w:val="000000"/>
                <w:sz w:val="21"/>
                <w:szCs w:val="21"/>
                <w:lang w:val="en-US"/>
              </w:rPr>
              <w:t>-</w:t>
            </w:r>
            <w:r w:rsidR="00415A0B">
              <w:rPr>
                <w:rFonts w:ascii="Times New Roman" w:eastAsiaTheme="minorEastAsia" w:hAnsi="Times New Roman" w:hint="eastAsia"/>
                <w:color w:val="000000"/>
                <w:sz w:val="21"/>
                <w:szCs w:val="21"/>
                <w:lang w:val="en-US"/>
              </w:rPr>
              <w:t>1</w:t>
            </w:r>
            <w:r w:rsidRPr="00CC5E23">
              <w:rPr>
                <w:rFonts w:ascii="Times New Roman" w:eastAsiaTheme="minorEastAsia" w:hAnsi="Times New Roman"/>
                <w:color w:val="000000"/>
                <w:sz w:val="21"/>
                <w:szCs w:val="21"/>
                <w:lang w:val="en-US"/>
              </w:rPr>
              <w:t>-</w:t>
            </w:r>
            <w:r w:rsidR="00020603">
              <w:rPr>
                <w:rFonts w:ascii="Times New Roman" w:eastAsiaTheme="minorEastAsia" w:hAnsi="Times New Roman" w:hint="eastAsia"/>
                <w:color w:val="000000"/>
                <w:sz w:val="21"/>
                <w:szCs w:val="21"/>
                <w:lang w:val="en-US"/>
              </w:rPr>
              <w:t>04</w:t>
            </w:r>
          </w:p>
        </w:tc>
        <w:tc>
          <w:tcPr>
            <w:tcW w:w="6113" w:type="dxa"/>
            <w:shd w:val="clear" w:color="auto" w:fill="auto"/>
            <w:noWrap/>
            <w:vAlign w:val="center"/>
            <w:hideMark/>
          </w:tcPr>
          <w:p w:rsidR="00257888" w:rsidRPr="001F0A72" w:rsidRDefault="00A40232" w:rsidP="00A40232">
            <w:pPr>
              <w:jc w:val="center"/>
              <w:rPr>
                <w:rFonts w:ascii="Times New Roman" w:eastAsiaTheme="minorEastAsia" w:hAnsi="Times New Roman"/>
                <w:color w:val="000000"/>
                <w:sz w:val="21"/>
                <w:szCs w:val="21"/>
                <w:lang w:val="en-US"/>
              </w:rPr>
            </w:pPr>
            <w:r w:rsidRPr="00A40232">
              <w:rPr>
                <w:rFonts w:ascii="Times New Roman" w:eastAsiaTheme="minorEastAsia" w:hAnsi="Times New Roman" w:hint="eastAsia"/>
                <w:color w:val="000000"/>
                <w:sz w:val="21"/>
                <w:szCs w:val="21"/>
                <w:lang w:val="en-US"/>
              </w:rPr>
              <w:t>1.00</w:t>
            </w:r>
            <w:r w:rsidR="00020603">
              <w:rPr>
                <w:rFonts w:ascii="Times New Roman" w:eastAsiaTheme="minorEastAsia" w:hAnsi="Times New Roman" w:hint="eastAsia"/>
                <w:color w:val="000000"/>
                <w:sz w:val="21"/>
                <w:szCs w:val="21"/>
                <w:lang w:val="en-US"/>
              </w:rPr>
              <w:t>000000</w:t>
            </w:r>
          </w:p>
        </w:tc>
      </w:tr>
      <w:tr w:rsidR="00BB400A" w:rsidRPr="001F0A72" w:rsidTr="009C62B9">
        <w:trPr>
          <w:trHeight w:val="299"/>
          <w:jc w:val="center"/>
        </w:trPr>
        <w:tc>
          <w:tcPr>
            <w:tcW w:w="2283" w:type="dxa"/>
            <w:shd w:val="clear" w:color="auto" w:fill="auto"/>
            <w:noWrap/>
            <w:vAlign w:val="center"/>
            <w:hideMark/>
          </w:tcPr>
          <w:p w:rsidR="00BB400A" w:rsidRPr="00C27D30" w:rsidRDefault="00BB400A" w:rsidP="00B66EA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w:t>
            </w:r>
            <w:r w:rsidR="00415A0B">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-3-31</w:t>
            </w:r>
          </w:p>
        </w:tc>
        <w:tc>
          <w:tcPr>
            <w:tcW w:w="6113" w:type="dxa"/>
            <w:shd w:val="clear" w:color="auto" w:fill="auto"/>
            <w:noWrap/>
            <w:vAlign w:val="center"/>
            <w:hideMark/>
          </w:tcPr>
          <w:p w:rsidR="00BB400A" w:rsidRPr="00E857C7" w:rsidRDefault="00A40232" w:rsidP="00A40232">
            <w:pPr>
              <w:jc w:val="center"/>
              <w:rPr>
                <w:rFonts w:ascii="Times New Roman" w:eastAsiaTheme="minorEastAsia" w:hAnsi="Times New Roman"/>
                <w:color w:val="000000"/>
                <w:sz w:val="21"/>
                <w:szCs w:val="21"/>
                <w:lang w:val="en-US"/>
              </w:rPr>
            </w:pPr>
            <w:r w:rsidRPr="00A40232">
              <w:rPr>
                <w:rFonts w:ascii="Times New Roman" w:eastAsiaTheme="minorEastAsia" w:hAnsi="Times New Roman" w:hint="eastAsia"/>
                <w:color w:val="000000"/>
                <w:sz w:val="21"/>
                <w:szCs w:val="21"/>
                <w:lang w:val="en-US"/>
              </w:rPr>
              <w:t>1.00947782</w:t>
            </w:r>
          </w:p>
        </w:tc>
      </w:tr>
      <w:tr w:rsidR="00BB400A" w:rsidRPr="001F0A72" w:rsidTr="009C62B9">
        <w:trPr>
          <w:trHeight w:val="299"/>
          <w:jc w:val="center"/>
        </w:trPr>
        <w:tc>
          <w:tcPr>
            <w:tcW w:w="2283" w:type="dxa"/>
            <w:shd w:val="clear" w:color="auto" w:fill="auto"/>
            <w:noWrap/>
            <w:vAlign w:val="center"/>
            <w:hideMark/>
          </w:tcPr>
          <w:p w:rsidR="00BB400A" w:rsidRPr="00C27D30" w:rsidRDefault="00BB400A" w:rsidP="00B66EAC">
            <w:pPr>
              <w:jc w:val="center"/>
              <w:rPr>
                <w:rFonts w:ascii="Times New Roman" w:eastAsiaTheme="minorEastAsia" w:hAnsi="Times New Roman"/>
                <w:color w:val="000000"/>
                <w:sz w:val="21"/>
                <w:szCs w:val="21"/>
                <w:lang w:val="en-US"/>
              </w:rPr>
            </w:pPr>
            <w:r w:rsidRPr="00C27D30">
              <w:rPr>
                <w:rFonts w:ascii="Times New Roman" w:eastAsiaTheme="minorEastAsia" w:hAnsi="Times New Roman"/>
                <w:color w:val="000000"/>
                <w:sz w:val="21"/>
                <w:szCs w:val="21"/>
                <w:lang w:val="en-US"/>
              </w:rPr>
              <w:t>201</w:t>
            </w:r>
            <w:r w:rsidR="00415A0B">
              <w:rPr>
                <w:rFonts w:ascii="Times New Roman" w:eastAsiaTheme="minorEastAsia" w:hAnsi="Times New Roman" w:hint="eastAsia"/>
                <w:color w:val="000000"/>
                <w:sz w:val="21"/>
                <w:szCs w:val="21"/>
                <w:lang w:val="en-US"/>
              </w:rPr>
              <w:t>6</w:t>
            </w:r>
            <w:r w:rsidRPr="00C27D30">
              <w:rPr>
                <w:rFonts w:ascii="Times New Roman" w:eastAsiaTheme="minorEastAsia" w:hAnsi="Times New Roman"/>
                <w:color w:val="000000"/>
                <w:sz w:val="21"/>
                <w:szCs w:val="21"/>
                <w:lang w:val="en-US"/>
              </w:rPr>
              <w:t>-6-30</w:t>
            </w:r>
          </w:p>
        </w:tc>
        <w:tc>
          <w:tcPr>
            <w:tcW w:w="6113" w:type="dxa"/>
            <w:shd w:val="clear" w:color="auto" w:fill="auto"/>
            <w:noWrap/>
            <w:vAlign w:val="center"/>
            <w:hideMark/>
          </w:tcPr>
          <w:p w:rsidR="00BB400A" w:rsidRPr="00E857C7" w:rsidRDefault="00A40232" w:rsidP="00A40232">
            <w:pPr>
              <w:jc w:val="center"/>
              <w:rPr>
                <w:rFonts w:ascii="Times New Roman" w:eastAsiaTheme="minorEastAsia" w:hAnsi="Times New Roman"/>
                <w:color w:val="000000"/>
                <w:sz w:val="21"/>
                <w:szCs w:val="21"/>
                <w:lang w:val="en-US"/>
              </w:rPr>
            </w:pPr>
            <w:r w:rsidRPr="00A40232">
              <w:rPr>
                <w:rFonts w:ascii="Times New Roman" w:eastAsiaTheme="minorEastAsia" w:hAnsi="Times New Roman" w:hint="eastAsia"/>
                <w:color w:val="000000"/>
                <w:sz w:val="21"/>
                <w:szCs w:val="21"/>
                <w:lang w:val="en-US"/>
              </w:rPr>
              <w:t>1.01655632</w:t>
            </w:r>
          </w:p>
        </w:tc>
      </w:tr>
    </w:tbl>
    <w:p w:rsidR="00DD739D" w:rsidRDefault="007655D7">
      <w:pPr>
        <w:pStyle w:val="Default"/>
        <w:spacing w:line="360" w:lineRule="auto"/>
        <w:contextualSpacing/>
        <w:rPr>
          <w:rFonts w:ascii="Times New Roman" w:eastAsiaTheme="minorEastAsia" w:cs="Times New Roman"/>
          <w:sz w:val="21"/>
          <w:szCs w:val="21"/>
        </w:rPr>
      </w:pPr>
      <w:r>
        <w:rPr>
          <w:rFonts w:ascii="Times New Roman" w:eastAsiaTheme="minorEastAsia" w:hAnsiTheme="minorEastAsia" w:cs="Times New Roman" w:hint="eastAsia"/>
          <w:sz w:val="21"/>
          <w:szCs w:val="21"/>
        </w:rPr>
        <w:t xml:space="preserve">    </w:t>
      </w:r>
      <w:r w:rsidR="00CC5E23" w:rsidRPr="00CC5E23">
        <w:rPr>
          <w:rFonts w:ascii="Times New Roman" w:eastAsiaTheme="minorEastAsia" w:hAnsiTheme="minorEastAsia" w:cs="Times New Roman" w:hint="eastAsia"/>
          <w:sz w:val="21"/>
          <w:szCs w:val="21"/>
        </w:rPr>
        <w:t>国华</w:t>
      </w:r>
      <w:r w:rsidR="00E73D0F">
        <w:rPr>
          <w:rFonts w:ascii="Times New Roman" w:eastAsiaTheme="minorEastAsia" w:hAnsiTheme="minorEastAsia" w:cs="Times New Roman" w:hint="eastAsia"/>
          <w:sz w:val="21"/>
          <w:szCs w:val="21"/>
        </w:rPr>
        <w:t>1</w:t>
      </w:r>
      <w:r w:rsidR="00E73D0F">
        <w:rPr>
          <w:rFonts w:ascii="Times New Roman" w:eastAsiaTheme="minorEastAsia" w:hAnsiTheme="minorEastAsia" w:cs="Times New Roman" w:hint="eastAsia"/>
          <w:sz w:val="21"/>
          <w:szCs w:val="21"/>
        </w:rPr>
        <w:t>号</w:t>
      </w:r>
      <w:r w:rsidR="008E587C">
        <w:rPr>
          <w:rFonts w:ascii="Times New Roman" w:eastAsiaTheme="minorEastAsia" w:hAnsiTheme="minorEastAsia" w:cs="Times New Roman" w:hint="eastAsia"/>
          <w:sz w:val="21"/>
          <w:szCs w:val="21"/>
        </w:rPr>
        <w:t>保守</w:t>
      </w:r>
      <w:r w:rsidR="00CC5E23" w:rsidRPr="00CC5E23">
        <w:rPr>
          <w:rFonts w:ascii="Times New Roman" w:eastAsiaTheme="minorEastAsia" w:hAnsiTheme="minorEastAsia" w:cs="Times New Roman" w:hint="eastAsia"/>
          <w:sz w:val="21"/>
          <w:szCs w:val="21"/>
        </w:rPr>
        <w:t>型投资账户的买入价等于卖出价。</w:t>
      </w:r>
    </w:p>
    <w:tbl>
      <w:tblPr>
        <w:tblW w:w="8367" w:type="dxa"/>
        <w:tblInd w:w="97" w:type="dxa"/>
        <w:tblBorders>
          <w:top w:val="single" w:sz="4" w:space="0" w:color="auto"/>
          <w:bottom w:val="single" w:sz="4" w:space="0" w:color="auto"/>
          <w:insideH w:val="single" w:sz="4" w:space="0" w:color="auto"/>
          <w:insideV w:val="single" w:sz="4" w:space="0" w:color="auto"/>
        </w:tblBorders>
        <w:tblLook w:val="04A0"/>
      </w:tblPr>
      <w:tblGrid>
        <w:gridCol w:w="2275"/>
        <w:gridCol w:w="6092"/>
      </w:tblGrid>
      <w:tr w:rsidR="000E6389" w:rsidRPr="001F0A72" w:rsidTr="009C62B9">
        <w:trPr>
          <w:trHeight w:val="279"/>
        </w:trPr>
        <w:tc>
          <w:tcPr>
            <w:tcW w:w="2275"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期间</w:t>
            </w:r>
          </w:p>
        </w:tc>
        <w:tc>
          <w:tcPr>
            <w:tcW w:w="6092" w:type="dxa"/>
            <w:shd w:val="clear" w:color="auto" w:fill="auto"/>
            <w:noWrap/>
            <w:vAlign w:val="center"/>
            <w:hideMark/>
          </w:tcPr>
          <w:p w:rsidR="000E6389" w:rsidRPr="001F0A72" w:rsidRDefault="00CC5E23" w:rsidP="000E6389">
            <w:pPr>
              <w:jc w:val="center"/>
              <w:rPr>
                <w:rFonts w:ascii="Times New Roman" w:eastAsiaTheme="minorEastAsia" w:hAnsi="Times New Roman"/>
                <w:color w:val="000000"/>
                <w:sz w:val="21"/>
                <w:szCs w:val="21"/>
                <w:lang w:val="en-US"/>
              </w:rPr>
            </w:pPr>
            <w:r w:rsidRPr="00CC5E23">
              <w:rPr>
                <w:rFonts w:ascii="Times New Roman" w:eastAsiaTheme="minorEastAsia" w:hAnsiTheme="minorEastAsia" w:hint="eastAsia"/>
                <w:color w:val="000000"/>
                <w:sz w:val="21"/>
                <w:szCs w:val="21"/>
                <w:lang w:val="en-US"/>
              </w:rPr>
              <w:t>净值增长率（年化）</w:t>
            </w:r>
          </w:p>
        </w:tc>
      </w:tr>
      <w:tr w:rsidR="00C25AE1" w:rsidRPr="001F0A72" w:rsidTr="009C62B9">
        <w:trPr>
          <w:trHeight w:val="294"/>
        </w:trPr>
        <w:tc>
          <w:tcPr>
            <w:tcW w:w="2275" w:type="dxa"/>
            <w:shd w:val="clear" w:color="auto" w:fill="auto"/>
            <w:noWrap/>
            <w:vAlign w:val="center"/>
            <w:hideMark/>
          </w:tcPr>
          <w:p w:rsidR="00C25AE1" w:rsidRPr="004E2444" w:rsidRDefault="00C25AE1" w:rsidP="000E6389">
            <w:pPr>
              <w:jc w:val="center"/>
              <w:rPr>
                <w:rFonts w:ascii="Times New Roman" w:eastAsiaTheme="minorEastAsia" w:hAnsi="Times New Roman"/>
                <w:color w:val="000000"/>
                <w:sz w:val="21"/>
                <w:szCs w:val="21"/>
              </w:rPr>
            </w:pPr>
            <w:r w:rsidRPr="004E2444">
              <w:rPr>
                <w:rFonts w:ascii="Times New Roman" w:eastAsiaTheme="minorEastAsia" w:hAnsi="Times New Roman" w:hint="eastAsia"/>
                <w:color w:val="000000"/>
                <w:sz w:val="21"/>
                <w:szCs w:val="21"/>
              </w:rPr>
              <w:t>201</w:t>
            </w:r>
            <w:r w:rsidR="00415A0B">
              <w:rPr>
                <w:rFonts w:ascii="Times New Roman" w:eastAsiaTheme="minorEastAsia" w:hAnsi="Times New Roman" w:hint="eastAsia"/>
                <w:color w:val="000000"/>
                <w:sz w:val="21"/>
                <w:szCs w:val="21"/>
              </w:rPr>
              <w:t>6</w:t>
            </w:r>
            <w:r w:rsidRPr="004E2444">
              <w:rPr>
                <w:rFonts w:ascii="Times New Roman" w:eastAsiaTheme="minorEastAsia" w:hAnsi="Times New Roman" w:hint="eastAsia"/>
                <w:color w:val="000000"/>
                <w:sz w:val="21"/>
                <w:szCs w:val="21"/>
              </w:rPr>
              <w:t>-03</w:t>
            </w:r>
          </w:p>
        </w:tc>
        <w:tc>
          <w:tcPr>
            <w:tcW w:w="6092" w:type="dxa"/>
            <w:shd w:val="clear" w:color="auto" w:fill="auto"/>
            <w:noWrap/>
            <w:vAlign w:val="center"/>
            <w:hideMark/>
          </w:tcPr>
          <w:p w:rsidR="00C25AE1" w:rsidRPr="002D5D8A" w:rsidRDefault="002D5D8A" w:rsidP="002D5D8A">
            <w:pPr>
              <w:jc w:val="center"/>
              <w:rPr>
                <w:rFonts w:ascii="Times New Roman" w:eastAsiaTheme="minorEastAsia" w:hAnsi="Times New Roman"/>
                <w:color w:val="000000"/>
                <w:sz w:val="21"/>
                <w:szCs w:val="21"/>
                <w:lang w:val="en-US"/>
              </w:rPr>
            </w:pPr>
            <w:r w:rsidRPr="002D5D8A">
              <w:rPr>
                <w:rFonts w:ascii="Times New Roman" w:eastAsiaTheme="minorEastAsia" w:hAnsi="Times New Roman"/>
                <w:color w:val="000000"/>
                <w:sz w:val="21"/>
                <w:szCs w:val="21"/>
                <w:lang w:val="en-US"/>
              </w:rPr>
              <w:t>3.9</w:t>
            </w:r>
            <w:r w:rsidR="00DF2409">
              <w:rPr>
                <w:rFonts w:ascii="Times New Roman" w:eastAsiaTheme="minorEastAsia" w:hAnsi="Times New Roman" w:hint="eastAsia"/>
                <w:color w:val="000000"/>
                <w:sz w:val="21"/>
                <w:szCs w:val="21"/>
                <w:lang w:val="en-US"/>
              </w:rPr>
              <w:t>3</w:t>
            </w:r>
            <w:r w:rsidRPr="002D5D8A">
              <w:rPr>
                <w:rFonts w:ascii="Times New Roman" w:eastAsiaTheme="minorEastAsia" w:hAnsi="Times New Roman"/>
                <w:color w:val="000000"/>
                <w:sz w:val="21"/>
                <w:szCs w:val="21"/>
                <w:lang w:val="en-US"/>
              </w:rPr>
              <w:t>%</w:t>
            </w:r>
          </w:p>
        </w:tc>
      </w:tr>
      <w:tr w:rsidR="00C25AE1" w:rsidRPr="001F0A72" w:rsidTr="009C62B9">
        <w:trPr>
          <w:trHeight w:val="294"/>
        </w:trPr>
        <w:tc>
          <w:tcPr>
            <w:tcW w:w="2275" w:type="dxa"/>
            <w:shd w:val="clear" w:color="auto" w:fill="auto"/>
            <w:noWrap/>
            <w:vAlign w:val="center"/>
            <w:hideMark/>
          </w:tcPr>
          <w:p w:rsidR="00C25AE1" w:rsidRPr="004E2444" w:rsidRDefault="00C25AE1" w:rsidP="002959D1">
            <w:pPr>
              <w:jc w:val="center"/>
              <w:rPr>
                <w:rFonts w:ascii="Times New Roman" w:eastAsiaTheme="minorEastAsia" w:hAnsi="Times New Roman"/>
                <w:color w:val="000000"/>
                <w:sz w:val="21"/>
                <w:szCs w:val="21"/>
              </w:rPr>
            </w:pPr>
            <w:r w:rsidRPr="004E2444">
              <w:rPr>
                <w:rFonts w:ascii="Times New Roman" w:eastAsiaTheme="minorEastAsia" w:hAnsi="Times New Roman" w:hint="eastAsia"/>
                <w:color w:val="000000"/>
                <w:sz w:val="21"/>
                <w:szCs w:val="21"/>
              </w:rPr>
              <w:t>201</w:t>
            </w:r>
            <w:r w:rsidR="00415A0B">
              <w:rPr>
                <w:rFonts w:ascii="Times New Roman" w:eastAsiaTheme="minorEastAsia" w:hAnsi="Times New Roman" w:hint="eastAsia"/>
                <w:color w:val="000000"/>
                <w:sz w:val="21"/>
                <w:szCs w:val="21"/>
              </w:rPr>
              <w:t>6</w:t>
            </w:r>
            <w:r w:rsidRPr="004E2444">
              <w:rPr>
                <w:rFonts w:ascii="Times New Roman" w:eastAsiaTheme="minorEastAsia" w:hAnsi="Times New Roman" w:hint="eastAsia"/>
                <w:color w:val="000000"/>
                <w:sz w:val="21"/>
                <w:szCs w:val="21"/>
              </w:rPr>
              <w:t>-06</w:t>
            </w:r>
          </w:p>
        </w:tc>
        <w:tc>
          <w:tcPr>
            <w:tcW w:w="6092" w:type="dxa"/>
            <w:shd w:val="clear" w:color="auto" w:fill="auto"/>
            <w:noWrap/>
            <w:vAlign w:val="center"/>
            <w:hideMark/>
          </w:tcPr>
          <w:p w:rsidR="00C25AE1" w:rsidRPr="002D5D8A" w:rsidRDefault="002D5D8A" w:rsidP="002D5D8A">
            <w:pPr>
              <w:jc w:val="center"/>
              <w:rPr>
                <w:rFonts w:ascii="Times New Roman" w:eastAsiaTheme="minorEastAsia" w:hAnsi="Times New Roman"/>
                <w:color w:val="000000"/>
                <w:sz w:val="21"/>
                <w:szCs w:val="21"/>
                <w:lang w:val="en-US"/>
              </w:rPr>
            </w:pPr>
            <w:r w:rsidRPr="002D5D8A">
              <w:rPr>
                <w:rFonts w:ascii="Times New Roman" w:eastAsiaTheme="minorEastAsia" w:hAnsi="Times New Roman"/>
                <w:color w:val="000000"/>
                <w:sz w:val="21"/>
                <w:szCs w:val="21"/>
                <w:lang w:val="en-US"/>
              </w:rPr>
              <w:t>2.81%</w:t>
            </w:r>
          </w:p>
        </w:tc>
      </w:tr>
    </w:tbl>
    <w:p w:rsidR="00DD739D" w:rsidRDefault="00CC5E23">
      <w:pPr>
        <w:spacing w:line="360" w:lineRule="auto"/>
        <w:jc w:val="both"/>
        <w:rPr>
          <w:rFonts w:ascii="Times New Roman" w:eastAsiaTheme="minorEastAsia" w:hAnsi="Times New Roman"/>
          <w:sz w:val="18"/>
          <w:szCs w:val="18"/>
        </w:rPr>
      </w:pPr>
      <w:r w:rsidRPr="00CC5E23">
        <w:rPr>
          <w:rFonts w:ascii="Times New Roman" w:eastAsiaTheme="minorEastAsia" w:hAnsi="Times New Roman"/>
          <w:sz w:val="18"/>
          <w:szCs w:val="18"/>
        </w:rPr>
        <w:t>*</w:t>
      </w:r>
      <w:r w:rsidR="00BD7336">
        <w:rPr>
          <w:rFonts w:ascii="Times New Roman" w:eastAsiaTheme="minorEastAsia" w:hAnsiTheme="minorEastAsia" w:hint="eastAsia"/>
          <w:sz w:val="18"/>
          <w:szCs w:val="18"/>
        </w:rPr>
        <w:t>净值增长率（年化）＝（本期期末卖出价</w:t>
      </w:r>
      <w:r w:rsidR="00BD7336">
        <w:rPr>
          <w:rFonts w:ascii="Times New Roman" w:eastAsiaTheme="minorEastAsia" w:hAnsiTheme="minorEastAsia" w:hint="eastAsia"/>
          <w:sz w:val="18"/>
          <w:szCs w:val="18"/>
        </w:rPr>
        <w:t>-</w:t>
      </w:r>
      <w:r w:rsidRPr="00CC5E23">
        <w:rPr>
          <w:rFonts w:ascii="Times New Roman" w:eastAsiaTheme="minorEastAsia" w:hAnsiTheme="minorEastAsia" w:hint="eastAsia"/>
          <w:sz w:val="18"/>
          <w:szCs w:val="18"/>
        </w:rPr>
        <w:t>上期期末卖出价）</w:t>
      </w:r>
      <w:r w:rsidRPr="00CC5E23">
        <w:rPr>
          <w:rFonts w:ascii="Times New Roman" w:eastAsiaTheme="minorEastAsia" w:hAnsi="Times New Roman"/>
          <w:sz w:val="18"/>
          <w:szCs w:val="18"/>
        </w:rPr>
        <w:t>/</w:t>
      </w:r>
      <w:r w:rsidRPr="00CC5E23">
        <w:rPr>
          <w:rFonts w:ascii="Times New Roman" w:eastAsiaTheme="minorEastAsia" w:hAnsiTheme="minorEastAsia" w:hint="eastAsia"/>
          <w:sz w:val="18"/>
          <w:szCs w:val="18"/>
        </w:rPr>
        <w:t>上期期末卖出价</w:t>
      </w:r>
      <w:r w:rsidR="00290828">
        <w:rPr>
          <w:rFonts w:ascii="Times New Roman" w:eastAsiaTheme="minorEastAsia" w:hAnsiTheme="minorEastAsia" w:hint="eastAsia"/>
          <w:sz w:val="18"/>
          <w:szCs w:val="18"/>
        </w:rPr>
        <w:t>/</w:t>
      </w:r>
      <w:r w:rsidR="00290828">
        <w:rPr>
          <w:rFonts w:ascii="Times New Roman" w:eastAsiaTheme="minorEastAsia" w:hAnsiTheme="minorEastAsia" w:hint="eastAsia"/>
          <w:sz w:val="18"/>
          <w:szCs w:val="18"/>
        </w:rPr>
        <w:t>持有天数</w:t>
      </w:r>
      <w:r w:rsidR="00290828">
        <w:rPr>
          <w:rFonts w:ascii="Times New Roman" w:eastAsiaTheme="minorEastAsia" w:hAnsi="Times New Roman"/>
          <w:sz w:val="18"/>
          <w:szCs w:val="18"/>
        </w:rPr>
        <w:t>*</w:t>
      </w:r>
      <w:r w:rsidR="00290828">
        <w:rPr>
          <w:rFonts w:ascii="Times New Roman" w:eastAsiaTheme="minorEastAsia" w:hAnsi="Times New Roman" w:hint="eastAsia"/>
          <w:sz w:val="18"/>
          <w:szCs w:val="18"/>
        </w:rPr>
        <w:t>365</w:t>
      </w:r>
      <w:r w:rsidRPr="00CC5E23">
        <w:rPr>
          <w:rFonts w:ascii="Times New Roman" w:eastAsiaTheme="minorEastAsia" w:hAnsi="Times New Roman"/>
          <w:sz w:val="18"/>
          <w:szCs w:val="18"/>
        </w:rPr>
        <w:t>*100%</w:t>
      </w:r>
    </w:p>
    <w:p w:rsidR="00647FA8" w:rsidRDefault="00647FA8" w:rsidP="00647FA8">
      <w:pPr>
        <w:spacing w:line="360" w:lineRule="auto"/>
        <w:ind w:firstLine="420"/>
        <w:jc w:val="both"/>
        <w:rPr>
          <w:rFonts w:ascii="Times New Roman" w:eastAsiaTheme="minorEastAsia" w:hAnsi="Times New Roman"/>
          <w:sz w:val="20"/>
          <w:szCs w:val="20"/>
        </w:rPr>
      </w:pPr>
      <w:r w:rsidRPr="00CC5E23">
        <w:rPr>
          <w:rFonts w:ascii="Times New Roman" w:eastAsiaTheme="minorEastAsia" w:hAnsi="Times New Roman"/>
          <w:sz w:val="21"/>
          <w:szCs w:val="21"/>
        </w:rPr>
        <w:t>*201</w:t>
      </w:r>
      <w:r w:rsidR="00A40232">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sidR="00A40232">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sidR="00A40232">
        <w:rPr>
          <w:rFonts w:ascii="Times New Roman" w:eastAsiaTheme="minorEastAsia" w:hAnsiTheme="minorEastAsia" w:hint="eastAsia"/>
          <w:sz w:val="21"/>
          <w:szCs w:val="21"/>
        </w:rPr>
        <w:t>1</w:t>
      </w:r>
      <w:r w:rsidRPr="00CC5E23">
        <w:rPr>
          <w:rFonts w:ascii="Times New Roman" w:eastAsiaTheme="minorEastAsia" w:hAnsiTheme="minorEastAsia" w:hint="eastAsia"/>
          <w:sz w:val="21"/>
          <w:szCs w:val="21"/>
        </w:rPr>
        <w:t>月</w:t>
      </w:r>
      <w:r w:rsidR="00585436">
        <w:rPr>
          <w:rFonts w:ascii="Times New Roman" w:eastAsiaTheme="minorEastAsia" w:hAnsi="Times New Roman" w:hint="eastAsia"/>
          <w:sz w:val="21"/>
          <w:szCs w:val="21"/>
        </w:rPr>
        <w:t>4</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sidR="00A40232">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3</w:t>
      </w:r>
      <w:r w:rsidRPr="00CC5E23">
        <w:rPr>
          <w:rFonts w:ascii="Times New Roman" w:eastAsiaTheme="minorEastAsia" w:hAnsiTheme="minorEastAsia" w:hint="eastAsia"/>
          <w:sz w:val="21"/>
          <w:szCs w:val="21"/>
        </w:rPr>
        <w:t>月</w:t>
      </w:r>
      <w:r>
        <w:rPr>
          <w:rFonts w:ascii="Times New Roman" w:eastAsiaTheme="minorEastAsia" w:hAnsi="Times New Roman" w:hint="eastAsia"/>
          <w:sz w:val="21"/>
          <w:szCs w:val="21"/>
        </w:rPr>
        <w:t>31</w:t>
      </w:r>
      <w:r w:rsidRPr="00CC5E23">
        <w:rPr>
          <w:rFonts w:ascii="Times New Roman" w:eastAsiaTheme="minorEastAsia" w:hAnsiTheme="minorEastAsia" w:hint="eastAsia"/>
          <w:sz w:val="21"/>
          <w:szCs w:val="21"/>
        </w:rPr>
        <w:t>日的投资单位卖出价。</w:t>
      </w:r>
    </w:p>
    <w:p w:rsidR="006917A4" w:rsidRDefault="00647FA8" w:rsidP="00020603">
      <w:pPr>
        <w:spacing w:line="360" w:lineRule="auto"/>
        <w:ind w:firstLine="420"/>
        <w:jc w:val="both"/>
        <w:rPr>
          <w:rFonts w:ascii="Times New Roman" w:eastAsiaTheme="minorEastAsia" w:hAnsiTheme="minorEastAsia"/>
          <w:sz w:val="21"/>
          <w:szCs w:val="21"/>
        </w:rPr>
      </w:pPr>
      <w:r w:rsidRPr="00CC5E23">
        <w:rPr>
          <w:rFonts w:ascii="Times New Roman" w:eastAsiaTheme="minorEastAsia" w:hAnsi="Times New Roman"/>
          <w:sz w:val="21"/>
          <w:szCs w:val="21"/>
        </w:rPr>
        <w:t>*201</w:t>
      </w:r>
      <w:r w:rsidR="00A40232">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月：上期期末卖出价为</w:t>
      </w:r>
      <w:r w:rsidRPr="00CC5E23">
        <w:rPr>
          <w:rFonts w:ascii="Times New Roman" w:eastAsiaTheme="minorEastAsia" w:hAnsi="Times New Roman"/>
          <w:sz w:val="21"/>
          <w:szCs w:val="21"/>
        </w:rPr>
        <w:t>201</w:t>
      </w:r>
      <w:r w:rsidR="002D5D8A">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年</w:t>
      </w:r>
      <w:r w:rsidR="00612B98">
        <w:rPr>
          <w:rFonts w:ascii="Times New Roman" w:eastAsiaTheme="minorEastAsia" w:hAnsiTheme="minorEastAsia" w:hint="eastAsia"/>
          <w:sz w:val="21"/>
          <w:szCs w:val="21"/>
        </w:rPr>
        <w:t>3</w:t>
      </w:r>
      <w:r w:rsidRPr="00CC5E23">
        <w:rPr>
          <w:rFonts w:ascii="Times New Roman" w:eastAsiaTheme="minorEastAsia" w:hAnsiTheme="minorEastAsia" w:hint="eastAsia"/>
          <w:sz w:val="21"/>
          <w:szCs w:val="21"/>
        </w:rPr>
        <w:t>月</w:t>
      </w:r>
      <w:r w:rsidR="00CD48BA">
        <w:rPr>
          <w:rFonts w:ascii="Times New Roman" w:eastAsiaTheme="minorEastAsia" w:hAnsiTheme="minorEastAsia" w:hint="eastAsia"/>
          <w:sz w:val="21"/>
          <w:szCs w:val="21"/>
        </w:rPr>
        <w:t>3</w:t>
      </w:r>
      <w:r w:rsidR="00CD48BA">
        <w:rPr>
          <w:rFonts w:ascii="Times New Roman" w:eastAsiaTheme="minorEastAsia" w:hAnsi="Times New Roman" w:hint="eastAsia"/>
          <w:sz w:val="21"/>
          <w:szCs w:val="21"/>
        </w:rPr>
        <w:t>1</w:t>
      </w:r>
      <w:r w:rsidRPr="00CC5E23">
        <w:rPr>
          <w:rFonts w:ascii="Times New Roman" w:eastAsiaTheme="minorEastAsia" w:hAnsiTheme="minorEastAsia" w:hint="eastAsia"/>
          <w:sz w:val="21"/>
          <w:szCs w:val="21"/>
        </w:rPr>
        <w:t>日的投资单位卖出价，本期期末卖出价为</w:t>
      </w:r>
      <w:r w:rsidRPr="00CC5E23">
        <w:rPr>
          <w:rFonts w:ascii="Times New Roman" w:eastAsiaTheme="minorEastAsia" w:hAnsi="Times New Roman"/>
          <w:sz w:val="21"/>
          <w:szCs w:val="21"/>
        </w:rPr>
        <w:t>201</w:t>
      </w:r>
      <w:r>
        <w:rPr>
          <w:rFonts w:ascii="Times New Roman" w:eastAsiaTheme="minorEastAsia" w:hAnsi="Times New Roman" w:hint="eastAsia"/>
          <w:sz w:val="21"/>
          <w:szCs w:val="21"/>
        </w:rPr>
        <w:t>5</w:t>
      </w:r>
      <w:r w:rsidRPr="00CC5E23">
        <w:rPr>
          <w:rFonts w:ascii="Times New Roman" w:eastAsiaTheme="minorEastAsia" w:hAnsiTheme="minorEastAsia" w:hint="eastAsia"/>
          <w:sz w:val="21"/>
          <w:szCs w:val="21"/>
        </w:rPr>
        <w:t>年</w:t>
      </w:r>
      <w:r w:rsidR="00CD48BA">
        <w:rPr>
          <w:rFonts w:ascii="Times New Roman" w:eastAsiaTheme="minorEastAsia" w:hAnsi="Times New Roman" w:hint="eastAsia"/>
          <w:sz w:val="21"/>
          <w:szCs w:val="21"/>
        </w:rPr>
        <w:t>6</w:t>
      </w:r>
      <w:r w:rsidRPr="00CC5E23">
        <w:rPr>
          <w:rFonts w:ascii="Times New Roman" w:eastAsiaTheme="minorEastAsia" w:hAnsiTheme="minorEastAsia" w:hint="eastAsia"/>
          <w:sz w:val="21"/>
          <w:szCs w:val="21"/>
        </w:rPr>
        <w:t>月</w:t>
      </w:r>
      <w:r w:rsidR="00CD48BA">
        <w:rPr>
          <w:rFonts w:ascii="Times New Roman" w:eastAsiaTheme="minorEastAsia" w:hAnsi="Times New Roman" w:hint="eastAsia"/>
          <w:sz w:val="21"/>
          <w:szCs w:val="21"/>
        </w:rPr>
        <w:t>30</w:t>
      </w:r>
      <w:r w:rsidRPr="00CC5E23">
        <w:rPr>
          <w:rFonts w:ascii="Times New Roman" w:eastAsiaTheme="minorEastAsia" w:hAnsiTheme="minorEastAsia" w:hint="eastAsia"/>
          <w:sz w:val="21"/>
          <w:szCs w:val="21"/>
        </w:rPr>
        <w:t>日的投资单位卖出价。</w:t>
      </w:r>
    </w:p>
    <w:p w:rsidR="00787E9B" w:rsidRPr="00020603" w:rsidRDefault="00787E9B" w:rsidP="00020603">
      <w:pPr>
        <w:spacing w:line="360" w:lineRule="auto"/>
        <w:ind w:firstLine="420"/>
        <w:jc w:val="both"/>
        <w:rPr>
          <w:rFonts w:ascii="Times New Roman" w:eastAsiaTheme="minorEastAsia" w:hAnsiTheme="minorEastAsia"/>
          <w:sz w:val="21"/>
          <w:szCs w:val="21"/>
        </w:rPr>
      </w:pPr>
    </w:p>
    <w:p w:rsidR="00315156" w:rsidRPr="007511D3" w:rsidRDefault="00CC5E23" w:rsidP="00AF546A">
      <w:pPr>
        <w:spacing w:line="360" w:lineRule="auto"/>
        <w:rPr>
          <w:rFonts w:ascii="Times New Roman" w:eastAsiaTheme="minorEastAsia" w:hAnsi="Times New Roman"/>
          <w:sz w:val="21"/>
          <w:szCs w:val="21"/>
          <w:lang w:val="en-US"/>
        </w:rPr>
      </w:pPr>
      <w:r w:rsidRPr="00CC5E23">
        <w:rPr>
          <w:rFonts w:ascii="Times New Roman" w:eastAsiaTheme="minorEastAsia" w:hAnsiTheme="minorEastAsia" w:hint="eastAsia"/>
          <w:sz w:val="21"/>
          <w:szCs w:val="21"/>
          <w:lang w:val="en-US"/>
        </w:rPr>
        <w:t>图</w:t>
      </w:r>
      <w:r w:rsidRPr="00CC5E23">
        <w:rPr>
          <w:rFonts w:ascii="Times New Roman" w:eastAsiaTheme="minorEastAsia" w:hAnsi="Times New Roman"/>
          <w:sz w:val="21"/>
          <w:szCs w:val="21"/>
          <w:lang w:val="en-US"/>
        </w:rPr>
        <w:t>1</w:t>
      </w:r>
      <w:r w:rsidRPr="00CC5E23">
        <w:rPr>
          <w:rFonts w:ascii="Times New Roman" w:eastAsiaTheme="minorEastAsia" w:hAnsiTheme="minorEastAsia" w:hint="eastAsia"/>
          <w:sz w:val="21"/>
          <w:szCs w:val="21"/>
          <w:lang w:val="en-US"/>
        </w:rPr>
        <w:t>：</w:t>
      </w:r>
      <w:r w:rsidR="00E73D0F">
        <w:rPr>
          <w:rFonts w:ascii="Times New Roman" w:eastAsiaTheme="minorEastAsia" w:hAnsiTheme="minorEastAsia" w:hint="eastAsia"/>
          <w:sz w:val="21"/>
          <w:szCs w:val="21"/>
          <w:lang w:val="en-US"/>
        </w:rPr>
        <w:t>国华</w:t>
      </w:r>
      <w:r w:rsidR="00E73D0F">
        <w:rPr>
          <w:rFonts w:ascii="Times New Roman" w:eastAsiaTheme="minorEastAsia" w:hAnsiTheme="minorEastAsia" w:hint="eastAsia"/>
          <w:sz w:val="21"/>
          <w:szCs w:val="21"/>
          <w:lang w:val="en-US"/>
        </w:rPr>
        <w:t>1</w:t>
      </w:r>
      <w:r w:rsidR="00E73D0F">
        <w:rPr>
          <w:rFonts w:ascii="Times New Roman" w:eastAsiaTheme="minorEastAsia" w:hAnsiTheme="minorEastAsia" w:hint="eastAsia"/>
          <w:sz w:val="21"/>
          <w:szCs w:val="21"/>
          <w:lang w:val="en-US"/>
        </w:rPr>
        <w:t>号</w:t>
      </w:r>
      <w:r w:rsidR="008E587C">
        <w:rPr>
          <w:rFonts w:ascii="Times New Roman" w:eastAsiaTheme="minorEastAsia" w:hAnsiTheme="minorEastAsia" w:hint="eastAsia"/>
          <w:sz w:val="21"/>
          <w:szCs w:val="21"/>
          <w:lang w:val="en-US"/>
        </w:rPr>
        <w:t>保守</w:t>
      </w:r>
      <w:r w:rsidRPr="00CC5E23">
        <w:rPr>
          <w:rFonts w:ascii="Times New Roman" w:eastAsiaTheme="minorEastAsia" w:hAnsiTheme="minorEastAsia" w:hint="eastAsia"/>
          <w:sz w:val="21"/>
          <w:szCs w:val="21"/>
          <w:lang w:val="en-US"/>
        </w:rPr>
        <w:t>型投资账户单位净值变动图</w:t>
      </w:r>
    </w:p>
    <w:p w:rsidR="00206FCB" w:rsidRDefault="00CC5E23" w:rsidP="00D1268B">
      <w:pPr>
        <w:spacing w:line="360" w:lineRule="auto"/>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单位：元</w:t>
      </w:r>
    </w:p>
    <w:p w:rsidR="006917A4" w:rsidRDefault="006917A4" w:rsidP="006917A4">
      <w:pPr>
        <w:spacing w:line="360" w:lineRule="auto"/>
        <w:ind w:firstLineChars="100" w:firstLine="210"/>
        <w:rPr>
          <w:rFonts w:ascii="Times New Roman" w:eastAsiaTheme="minorEastAsia" w:hAnsiTheme="minorEastAsia"/>
          <w:sz w:val="21"/>
          <w:szCs w:val="21"/>
          <w:lang w:val="en-US"/>
        </w:rPr>
      </w:pPr>
      <w:r w:rsidRPr="006917A4">
        <w:rPr>
          <w:rFonts w:ascii="Times New Roman" w:eastAsiaTheme="minorEastAsia" w:hAnsiTheme="minorEastAsia"/>
          <w:noProof/>
          <w:sz w:val="21"/>
          <w:szCs w:val="21"/>
          <w:lang w:val="en-US"/>
        </w:rPr>
        <w:drawing>
          <wp:inline distT="0" distB="0" distL="0" distR="0">
            <wp:extent cx="5372100" cy="2809875"/>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0232" w:rsidRDefault="00A40232" w:rsidP="000A22C1">
      <w:pPr>
        <w:spacing w:line="360" w:lineRule="auto"/>
        <w:ind w:firstLineChars="100" w:firstLine="210"/>
        <w:jc w:val="both"/>
        <w:rPr>
          <w:rFonts w:ascii="Times New Roman" w:eastAsiaTheme="minorEastAsia" w:hAnsi="Times New Roman"/>
          <w:sz w:val="21"/>
          <w:szCs w:val="21"/>
          <w:lang w:val="en-US"/>
        </w:rPr>
      </w:pPr>
    </w:p>
    <w:p w:rsidR="00EC31ED" w:rsidRDefault="00EC31ED" w:rsidP="000A22C1">
      <w:pPr>
        <w:spacing w:line="360" w:lineRule="auto"/>
        <w:ind w:firstLineChars="100" w:firstLine="210"/>
        <w:jc w:val="both"/>
        <w:rPr>
          <w:rFonts w:ascii="Times New Roman" w:eastAsiaTheme="minorEastAsia" w:hAnsi="Times New Roman"/>
          <w:sz w:val="21"/>
          <w:szCs w:val="21"/>
          <w:lang w:val="en-US"/>
        </w:rPr>
      </w:pPr>
    </w:p>
    <w:p w:rsidR="00020603" w:rsidRDefault="00020603" w:rsidP="00156F17">
      <w:pPr>
        <w:spacing w:line="360" w:lineRule="auto"/>
        <w:jc w:val="both"/>
        <w:rPr>
          <w:rFonts w:ascii="Times New Roman" w:eastAsiaTheme="minorEastAsia" w:hAnsi="Times New Roman" w:hint="eastAsia"/>
          <w:sz w:val="21"/>
          <w:szCs w:val="21"/>
          <w:lang w:val="en-US"/>
        </w:rPr>
      </w:pPr>
    </w:p>
    <w:p w:rsidR="00156F17" w:rsidRDefault="00156F17" w:rsidP="00156F17">
      <w:pPr>
        <w:spacing w:line="360" w:lineRule="auto"/>
        <w:jc w:val="both"/>
        <w:rPr>
          <w:rFonts w:ascii="Times New Roman" w:eastAsiaTheme="minorEastAsia" w:hAnsi="Times New Roman"/>
          <w:sz w:val="21"/>
          <w:szCs w:val="21"/>
          <w:lang w:val="en-US"/>
        </w:rPr>
      </w:pPr>
    </w:p>
    <w:p w:rsidR="00DD739D" w:rsidRPr="00D46E32" w:rsidRDefault="00CC5E23" w:rsidP="0063289D">
      <w:pPr>
        <w:spacing w:line="360" w:lineRule="auto"/>
        <w:ind w:firstLineChars="196" w:firstLine="413"/>
        <w:contextualSpacing/>
        <w:jc w:val="both"/>
        <w:rPr>
          <w:rFonts w:ascii="Times New Roman" w:eastAsiaTheme="minorEastAsia" w:hAnsiTheme="minorEastAsia"/>
          <w:b/>
          <w:sz w:val="21"/>
          <w:szCs w:val="21"/>
          <w:lang w:val="en-US"/>
        </w:rPr>
      </w:pPr>
      <w:r w:rsidRPr="00D46E32">
        <w:rPr>
          <w:rFonts w:ascii="Times New Roman" w:eastAsiaTheme="minorEastAsia" w:hAnsiTheme="minorEastAsia" w:hint="eastAsia"/>
          <w:b/>
          <w:sz w:val="21"/>
          <w:szCs w:val="21"/>
          <w:lang w:val="en-US"/>
        </w:rPr>
        <w:lastRenderedPageBreak/>
        <w:t>三、简要财务状况</w:t>
      </w:r>
    </w:p>
    <w:p w:rsidR="00CB0A29" w:rsidRPr="00D46E32" w:rsidRDefault="00CC5E23" w:rsidP="00D46E32">
      <w:pPr>
        <w:spacing w:line="360" w:lineRule="auto"/>
        <w:ind w:firstLineChars="196" w:firstLine="412"/>
        <w:contextualSpacing/>
        <w:jc w:val="both"/>
        <w:rPr>
          <w:rFonts w:ascii="Times New Roman" w:eastAsiaTheme="minorEastAsia" w:hAnsiTheme="minorEastAsia"/>
          <w:sz w:val="21"/>
          <w:szCs w:val="21"/>
          <w:lang w:val="en-US"/>
        </w:rPr>
      </w:pPr>
      <w:r w:rsidRPr="00B84315">
        <w:rPr>
          <w:rFonts w:ascii="Times New Roman" w:eastAsiaTheme="minorEastAsia" w:hAnsiTheme="minorEastAsia" w:hint="eastAsia"/>
          <w:sz w:val="21"/>
          <w:szCs w:val="21"/>
          <w:lang w:val="en-US"/>
        </w:rPr>
        <w:t>截至</w:t>
      </w:r>
      <w:r w:rsidRPr="00B84315">
        <w:rPr>
          <w:rFonts w:ascii="Times New Roman" w:eastAsiaTheme="minorEastAsia" w:hAnsiTheme="minorEastAsia"/>
          <w:sz w:val="21"/>
          <w:szCs w:val="21"/>
          <w:lang w:val="en-US"/>
        </w:rPr>
        <w:t>201</w:t>
      </w:r>
      <w:r w:rsidR="00A40232" w:rsidRPr="00B84315">
        <w:rPr>
          <w:rFonts w:ascii="Times New Roman" w:eastAsiaTheme="minorEastAsia" w:hAnsiTheme="minorEastAsia" w:hint="eastAsia"/>
          <w:sz w:val="21"/>
          <w:szCs w:val="21"/>
          <w:lang w:val="en-US"/>
        </w:rPr>
        <w:t>6</w:t>
      </w:r>
      <w:r w:rsidRPr="00B84315">
        <w:rPr>
          <w:rFonts w:ascii="Times New Roman" w:eastAsiaTheme="minorEastAsia" w:hAnsiTheme="minorEastAsia" w:hint="eastAsia"/>
          <w:sz w:val="21"/>
          <w:szCs w:val="21"/>
          <w:lang w:val="en-US"/>
        </w:rPr>
        <w:t>年</w:t>
      </w:r>
      <w:r w:rsidR="00F804AE" w:rsidRPr="00B84315">
        <w:rPr>
          <w:rFonts w:ascii="Times New Roman" w:eastAsiaTheme="minorEastAsia" w:hAnsiTheme="minorEastAsia" w:hint="eastAsia"/>
          <w:sz w:val="21"/>
          <w:szCs w:val="21"/>
          <w:lang w:val="en-US"/>
        </w:rPr>
        <w:t>6</w:t>
      </w:r>
      <w:r w:rsidRPr="00B84315">
        <w:rPr>
          <w:rFonts w:ascii="Times New Roman" w:eastAsiaTheme="minorEastAsia" w:hAnsiTheme="minorEastAsia" w:hint="eastAsia"/>
          <w:sz w:val="21"/>
          <w:szCs w:val="21"/>
          <w:lang w:val="en-US"/>
        </w:rPr>
        <w:t>月</w:t>
      </w:r>
      <w:r w:rsidR="00F804AE" w:rsidRPr="00B84315">
        <w:rPr>
          <w:rFonts w:ascii="Times New Roman" w:eastAsiaTheme="minorEastAsia" w:hAnsiTheme="minorEastAsia" w:hint="eastAsia"/>
          <w:sz w:val="21"/>
          <w:szCs w:val="21"/>
          <w:lang w:val="en-US"/>
        </w:rPr>
        <w:t>30</w:t>
      </w:r>
      <w:r w:rsidRPr="00B84315">
        <w:rPr>
          <w:rFonts w:ascii="Times New Roman" w:eastAsiaTheme="minorEastAsia" w:hAnsiTheme="minorEastAsia" w:hint="eastAsia"/>
          <w:sz w:val="21"/>
          <w:szCs w:val="21"/>
          <w:lang w:val="en-US"/>
        </w:rPr>
        <w:t>日，国华</w:t>
      </w:r>
      <w:r w:rsidR="00E73D0F">
        <w:rPr>
          <w:rFonts w:ascii="Times New Roman" w:eastAsiaTheme="minorEastAsia" w:hAnsiTheme="minorEastAsia" w:hint="eastAsia"/>
          <w:sz w:val="21"/>
          <w:szCs w:val="21"/>
          <w:lang w:val="en-US"/>
        </w:rPr>
        <w:t>1</w:t>
      </w:r>
      <w:r w:rsidR="00E73D0F">
        <w:rPr>
          <w:rFonts w:ascii="Times New Roman" w:eastAsiaTheme="minorEastAsia" w:hAnsiTheme="minorEastAsia" w:hint="eastAsia"/>
          <w:sz w:val="21"/>
          <w:szCs w:val="21"/>
          <w:lang w:val="en-US"/>
        </w:rPr>
        <w:t>号</w:t>
      </w:r>
      <w:r w:rsidR="008E587C" w:rsidRPr="00B84315">
        <w:rPr>
          <w:rFonts w:ascii="Times New Roman" w:eastAsiaTheme="minorEastAsia" w:hAnsiTheme="minorEastAsia" w:hint="eastAsia"/>
          <w:sz w:val="21"/>
          <w:szCs w:val="21"/>
          <w:lang w:val="en-US"/>
        </w:rPr>
        <w:t>保守</w:t>
      </w:r>
      <w:r w:rsidR="00F67C39" w:rsidRPr="00B84315">
        <w:rPr>
          <w:rFonts w:ascii="Times New Roman" w:eastAsiaTheme="minorEastAsia" w:hAnsiTheme="minorEastAsia" w:hint="eastAsia"/>
          <w:sz w:val="21"/>
          <w:szCs w:val="21"/>
          <w:lang w:val="en-US"/>
        </w:rPr>
        <w:t>型投资账户资产总额</w:t>
      </w:r>
      <w:r w:rsidR="00A40232" w:rsidRPr="00B84315">
        <w:rPr>
          <w:rFonts w:ascii="Times New Roman" w:eastAsiaTheme="minorEastAsia" w:hAnsiTheme="minorEastAsia" w:hint="eastAsia"/>
          <w:sz w:val="21"/>
          <w:szCs w:val="21"/>
          <w:lang w:val="en-US"/>
        </w:rPr>
        <w:t>851,254,460.</w:t>
      </w:r>
      <w:r w:rsidR="00892D4E">
        <w:rPr>
          <w:rFonts w:ascii="Times New Roman" w:eastAsiaTheme="minorEastAsia" w:hAnsiTheme="minorEastAsia" w:hint="eastAsia"/>
          <w:sz w:val="21"/>
          <w:szCs w:val="21"/>
          <w:lang w:val="en-US"/>
        </w:rPr>
        <w:t>79</w:t>
      </w:r>
      <w:r w:rsidRPr="00B84315">
        <w:rPr>
          <w:rFonts w:ascii="Times New Roman" w:eastAsiaTheme="minorEastAsia" w:hAnsiTheme="minorEastAsia" w:hint="eastAsia"/>
          <w:sz w:val="21"/>
          <w:szCs w:val="21"/>
          <w:lang w:val="en-US"/>
        </w:rPr>
        <w:t>元，负债</w:t>
      </w:r>
      <w:r w:rsidR="00A40232" w:rsidRPr="00B84315">
        <w:rPr>
          <w:rFonts w:ascii="Times New Roman" w:eastAsiaTheme="minorEastAsia" w:hAnsiTheme="minorEastAsia" w:hint="eastAsia"/>
          <w:sz w:val="21"/>
          <w:szCs w:val="21"/>
          <w:lang w:val="en-US"/>
        </w:rPr>
        <w:t>8,953,03</w:t>
      </w:r>
      <w:r w:rsidR="005226F6">
        <w:rPr>
          <w:rFonts w:ascii="Times New Roman" w:eastAsiaTheme="minorEastAsia" w:hAnsiTheme="minorEastAsia" w:hint="eastAsia"/>
          <w:sz w:val="21"/>
          <w:szCs w:val="21"/>
          <w:lang w:val="en-US"/>
        </w:rPr>
        <w:t>1</w:t>
      </w:r>
      <w:r w:rsidR="00A40232" w:rsidRPr="00B84315">
        <w:rPr>
          <w:rFonts w:ascii="Times New Roman" w:eastAsiaTheme="minorEastAsia" w:hAnsiTheme="minorEastAsia" w:hint="eastAsia"/>
          <w:sz w:val="21"/>
          <w:szCs w:val="21"/>
          <w:lang w:val="en-US"/>
        </w:rPr>
        <w:t>.</w:t>
      </w:r>
      <w:r w:rsidR="005226F6">
        <w:rPr>
          <w:rFonts w:ascii="Times New Roman" w:eastAsiaTheme="minorEastAsia" w:hAnsiTheme="minorEastAsia" w:hint="eastAsia"/>
          <w:sz w:val="21"/>
          <w:szCs w:val="21"/>
          <w:lang w:val="en-US"/>
        </w:rPr>
        <w:t>97</w:t>
      </w:r>
      <w:r w:rsidRPr="00B84315">
        <w:rPr>
          <w:rFonts w:ascii="Times New Roman" w:eastAsiaTheme="minorEastAsia" w:hAnsiTheme="minorEastAsia" w:hint="eastAsia"/>
          <w:sz w:val="21"/>
          <w:szCs w:val="21"/>
          <w:lang w:val="en-US"/>
        </w:rPr>
        <w:t>元，投资账户持有人权益总额</w:t>
      </w:r>
      <w:r w:rsidR="00B84315" w:rsidRPr="00B84315">
        <w:rPr>
          <w:rFonts w:ascii="Times New Roman" w:eastAsiaTheme="minorEastAsia" w:hAnsiTheme="minorEastAsia" w:hint="eastAsia"/>
          <w:sz w:val="21"/>
          <w:szCs w:val="21"/>
          <w:lang w:val="en-US"/>
        </w:rPr>
        <w:t>842,301,428.</w:t>
      </w:r>
      <w:r w:rsidR="005226F6">
        <w:rPr>
          <w:rFonts w:ascii="Times New Roman" w:eastAsiaTheme="minorEastAsia" w:hAnsiTheme="minorEastAsia" w:hint="eastAsia"/>
          <w:sz w:val="21"/>
          <w:szCs w:val="21"/>
          <w:lang w:val="en-US"/>
        </w:rPr>
        <w:t>82</w:t>
      </w:r>
      <w:r w:rsidRPr="00B84315">
        <w:rPr>
          <w:rFonts w:ascii="Times New Roman" w:eastAsiaTheme="minorEastAsia" w:hAnsiTheme="minorEastAsia" w:hint="eastAsia"/>
          <w:sz w:val="21"/>
          <w:szCs w:val="21"/>
          <w:lang w:val="en-US"/>
        </w:rPr>
        <w:t>元。账户已实现累计收益</w:t>
      </w:r>
      <w:r w:rsidR="00D46E32">
        <w:rPr>
          <w:rFonts w:ascii="Times New Roman" w:eastAsiaTheme="minorEastAsia" w:hAnsiTheme="minorEastAsia" w:hint="eastAsia"/>
          <w:sz w:val="21"/>
          <w:szCs w:val="21"/>
          <w:lang w:val="en-US"/>
        </w:rPr>
        <w:t>7,581,208.43</w:t>
      </w:r>
      <w:r w:rsidRPr="00B84315">
        <w:rPr>
          <w:rFonts w:ascii="Times New Roman" w:eastAsiaTheme="minorEastAsia" w:hAnsiTheme="minorEastAsia" w:hint="eastAsia"/>
          <w:sz w:val="21"/>
          <w:szCs w:val="21"/>
          <w:lang w:val="en-US"/>
        </w:rPr>
        <w:t>元，其中利息收入</w:t>
      </w:r>
      <w:r w:rsidR="00B84315" w:rsidRPr="00B84315">
        <w:rPr>
          <w:rFonts w:ascii="Times New Roman" w:eastAsiaTheme="minorEastAsia" w:hAnsiTheme="minorEastAsia" w:hint="eastAsia"/>
          <w:sz w:val="21"/>
          <w:szCs w:val="21"/>
          <w:lang w:val="en-US"/>
        </w:rPr>
        <w:t>4,711,189.93</w:t>
      </w:r>
      <w:r w:rsidRPr="00B84315">
        <w:rPr>
          <w:rFonts w:ascii="Times New Roman" w:eastAsiaTheme="minorEastAsia" w:hAnsiTheme="minorEastAsia" w:hint="eastAsia"/>
          <w:sz w:val="21"/>
          <w:szCs w:val="21"/>
          <w:lang w:val="en-US"/>
        </w:rPr>
        <w:t>元，红利收入</w:t>
      </w:r>
      <w:r w:rsidR="00D46E32" w:rsidRPr="00D46E32">
        <w:rPr>
          <w:rFonts w:ascii="Times New Roman" w:eastAsiaTheme="minorEastAsia" w:hAnsiTheme="minorEastAsia" w:hint="eastAsia"/>
          <w:sz w:val="21"/>
          <w:szCs w:val="21"/>
          <w:lang w:val="en-US"/>
        </w:rPr>
        <w:t>2,521,535.05</w:t>
      </w:r>
      <w:r w:rsidRPr="00B84315">
        <w:rPr>
          <w:rFonts w:ascii="Times New Roman" w:eastAsiaTheme="minorEastAsia" w:hAnsiTheme="minorEastAsia" w:hint="eastAsia"/>
          <w:sz w:val="21"/>
          <w:szCs w:val="21"/>
          <w:lang w:val="en-US"/>
        </w:rPr>
        <w:t>元</w:t>
      </w:r>
      <w:r w:rsidR="006A6844">
        <w:rPr>
          <w:rFonts w:ascii="Times New Roman" w:eastAsiaTheme="minorEastAsia" w:hAnsiTheme="minorEastAsia" w:hint="eastAsia"/>
          <w:sz w:val="21"/>
          <w:szCs w:val="21"/>
          <w:lang w:val="en-US"/>
        </w:rPr>
        <w:t>，处置收</w:t>
      </w:r>
      <w:r w:rsidR="00557D8F" w:rsidRPr="00557D8F">
        <w:rPr>
          <w:rFonts w:ascii="Times New Roman" w:eastAsiaTheme="minorEastAsia" w:hAnsiTheme="minorEastAsia" w:hint="eastAsia"/>
          <w:sz w:val="21"/>
          <w:szCs w:val="21"/>
          <w:lang w:val="en-US"/>
        </w:rPr>
        <w:t>入</w:t>
      </w:r>
      <w:r w:rsidR="00B84315" w:rsidRPr="00B84315">
        <w:rPr>
          <w:rFonts w:ascii="Times New Roman" w:eastAsiaTheme="minorEastAsia" w:hAnsiTheme="minorEastAsia" w:hint="eastAsia"/>
          <w:sz w:val="21"/>
          <w:szCs w:val="21"/>
          <w:lang w:val="en-US"/>
        </w:rPr>
        <w:t>348,483.45</w:t>
      </w:r>
      <w:r w:rsidR="00B84315" w:rsidRPr="00B84315">
        <w:rPr>
          <w:rFonts w:ascii="Times New Roman" w:eastAsiaTheme="minorEastAsia" w:hAnsiTheme="minorEastAsia" w:hint="eastAsia"/>
          <w:sz w:val="21"/>
          <w:szCs w:val="21"/>
          <w:lang w:val="en-US"/>
        </w:rPr>
        <w:t>元</w:t>
      </w:r>
      <w:r w:rsidRPr="00B84315">
        <w:rPr>
          <w:rFonts w:ascii="Times New Roman" w:eastAsiaTheme="minorEastAsia" w:hAnsiTheme="minorEastAsia" w:hint="eastAsia"/>
          <w:sz w:val="21"/>
          <w:szCs w:val="21"/>
          <w:lang w:val="en-US"/>
        </w:rPr>
        <w:t>。</w:t>
      </w:r>
      <w:r w:rsidR="00451CCE" w:rsidRPr="00B84315">
        <w:rPr>
          <w:rFonts w:ascii="Times New Roman" w:eastAsiaTheme="minorEastAsia" w:hAnsiTheme="minorEastAsia" w:hint="eastAsia"/>
          <w:sz w:val="21"/>
          <w:szCs w:val="21"/>
          <w:lang w:val="en-US"/>
        </w:rPr>
        <w:t>本年</w:t>
      </w:r>
      <w:r w:rsidR="00CB0A29" w:rsidRPr="00B84315">
        <w:rPr>
          <w:rFonts w:ascii="Times New Roman" w:eastAsiaTheme="minorEastAsia" w:hAnsiTheme="minorEastAsia" w:hint="eastAsia"/>
          <w:sz w:val="21"/>
          <w:szCs w:val="21"/>
          <w:lang w:val="en-US"/>
        </w:rPr>
        <w:t>度经营收入</w:t>
      </w:r>
      <w:r w:rsidR="00D46E32">
        <w:rPr>
          <w:rFonts w:ascii="Times New Roman" w:eastAsiaTheme="minorEastAsia" w:hAnsiTheme="minorEastAsia" w:hint="eastAsia"/>
          <w:sz w:val="21"/>
          <w:szCs w:val="21"/>
          <w:lang w:val="en-US"/>
        </w:rPr>
        <w:t>7,581,208.43</w:t>
      </w:r>
      <w:r w:rsidR="00451CCE" w:rsidRPr="00B84315">
        <w:rPr>
          <w:rFonts w:ascii="Times New Roman" w:eastAsiaTheme="minorEastAsia" w:hAnsiTheme="minorEastAsia" w:hint="eastAsia"/>
          <w:sz w:val="21"/>
          <w:szCs w:val="21"/>
          <w:lang w:val="en-US"/>
        </w:rPr>
        <w:t>元</w:t>
      </w:r>
      <w:r w:rsidR="00CB0A29" w:rsidRPr="00B84315">
        <w:rPr>
          <w:rFonts w:ascii="Times New Roman" w:eastAsiaTheme="minorEastAsia" w:hAnsiTheme="minorEastAsia" w:hint="eastAsia"/>
          <w:sz w:val="21"/>
          <w:szCs w:val="21"/>
          <w:lang w:val="en-US"/>
        </w:rPr>
        <w:t>，其中</w:t>
      </w:r>
      <w:r w:rsidR="00B84315" w:rsidRPr="00B84315">
        <w:rPr>
          <w:rFonts w:ascii="Times New Roman" w:eastAsiaTheme="minorEastAsia" w:hAnsiTheme="minorEastAsia" w:hint="eastAsia"/>
          <w:sz w:val="21"/>
          <w:szCs w:val="21"/>
          <w:lang w:val="en-US"/>
        </w:rPr>
        <w:t>利息收入</w:t>
      </w:r>
      <w:r w:rsidR="00B84315" w:rsidRPr="00B84315">
        <w:rPr>
          <w:rFonts w:ascii="Times New Roman" w:eastAsiaTheme="minorEastAsia" w:hAnsiTheme="minorEastAsia" w:hint="eastAsia"/>
          <w:sz w:val="21"/>
          <w:szCs w:val="21"/>
          <w:lang w:val="en-US"/>
        </w:rPr>
        <w:t>4,711,189.93</w:t>
      </w:r>
      <w:r w:rsidR="00B84315" w:rsidRPr="00B84315">
        <w:rPr>
          <w:rFonts w:ascii="Times New Roman" w:eastAsiaTheme="minorEastAsia" w:hAnsiTheme="minorEastAsia" w:hint="eastAsia"/>
          <w:sz w:val="21"/>
          <w:szCs w:val="21"/>
          <w:lang w:val="en-US"/>
        </w:rPr>
        <w:t>元，红利收入</w:t>
      </w:r>
      <w:r w:rsidR="00D46E32" w:rsidRPr="00D46E32">
        <w:rPr>
          <w:rFonts w:ascii="Times New Roman" w:eastAsiaTheme="minorEastAsia" w:hAnsiTheme="minorEastAsia" w:hint="eastAsia"/>
          <w:sz w:val="21"/>
          <w:szCs w:val="21"/>
          <w:lang w:val="en-US"/>
        </w:rPr>
        <w:t>2,521,535.05</w:t>
      </w:r>
      <w:r w:rsidR="00B84315" w:rsidRPr="00B84315">
        <w:rPr>
          <w:rFonts w:ascii="Times New Roman" w:eastAsiaTheme="minorEastAsia" w:hAnsiTheme="minorEastAsia" w:hint="eastAsia"/>
          <w:sz w:val="21"/>
          <w:szCs w:val="21"/>
          <w:lang w:val="en-US"/>
        </w:rPr>
        <w:t>元，处置收</w:t>
      </w:r>
      <w:r w:rsidR="005E14BF">
        <w:rPr>
          <w:rFonts w:ascii="Times New Roman" w:eastAsiaTheme="minorEastAsia" w:hAnsiTheme="minorEastAsia" w:hint="eastAsia"/>
          <w:sz w:val="21"/>
          <w:szCs w:val="21"/>
          <w:lang w:val="en-US"/>
        </w:rPr>
        <w:t>入</w:t>
      </w:r>
      <w:r w:rsidR="00B84315" w:rsidRPr="00B84315">
        <w:rPr>
          <w:rFonts w:ascii="Times New Roman" w:eastAsiaTheme="minorEastAsia" w:hAnsiTheme="minorEastAsia" w:hint="eastAsia"/>
          <w:sz w:val="21"/>
          <w:szCs w:val="21"/>
          <w:lang w:val="en-US"/>
        </w:rPr>
        <w:t>348,483.45</w:t>
      </w:r>
      <w:r w:rsidR="00B84315" w:rsidRPr="00B84315">
        <w:rPr>
          <w:rFonts w:ascii="Times New Roman" w:eastAsiaTheme="minorEastAsia" w:hAnsiTheme="minorEastAsia" w:hint="eastAsia"/>
          <w:sz w:val="21"/>
          <w:szCs w:val="21"/>
          <w:lang w:val="en-US"/>
        </w:rPr>
        <w:t>元</w:t>
      </w:r>
      <w:r w:rsidR="00CB0A29" w:rsidRPr="00B84315">
        <w:rPr>
          <w:rFonts w:ascii="Times New Roman" w:eastAsiaTheme="minorEastAsia" w:hAnsiTheme="minorEastAsia" w:hint="eastAsia"/>
          <w:sz w:val="21"/>
          <w:szCs w:val="21"/>
          <w:lang w:val="en-US"/>
        </w:rPr>
        <w:t>。</w:t>
      </w:r>
      <w:r w:rsidR="001A4E70" w:rsidRPr="00B84315">
        <w:rPr>
          <w:rFonts w:ascii="Times New Roman" w:eastAsiaTheme="minorEastAsia" w:hAnsiTheme="minorEastAsia" w:hint="eastAsia"/>
          <w:sz w:val="21"/>
          <w:szCs w:val="21"/>
          <w:lang w:val="en-US"/>
        </w:rPr>
        <w:t>本年度</w:t>
      </w:r>
      <w:r w:rsidR="00F67C39" w:rsidRPr="00B84315">
        <w:rPr>
          <w:rFonts w:ascii="Times New Roman" w:eastAsiaTheme="minorEastAsia" w:hAnsiTheme="minorEastAsia" w:hint="eastAsia"/>
          <w:sz w:val="21"/>
          <w:szCs w:val="21"/>
          <w:lang w:val="en-US"/>
        </w:rPr>
        <w:t>经营支出</w:t>
      </w:r>
      <w:r w:rsidR="00557D8F" w:rsidRPr="00557D8F">
        <w:rPr>
          <w:rFonts w:ascii="Times New Roman" w:eastAsiaTheme="minorEastAsia" w:hAnsiTheme="minorEastAsia" w:hint="eastAsia"/>
          <w:sz w:val="21"/>
          <w:szCs w:val="21"/>
          <w:lang w:val="en-US"/>
        </w:rPr>
        <w:t>2,023,948.47</w:t>
      </w:r>
      <w:r w:rsidR="00F67C39" w:rsidRPr="00B84315">
        <w:rPr>
          <w:rFonts w:ascii="Times New Roman" w:eastAsiaTheme="minorEastAsia" w:hAnsiTheme="minorEastAsia" w:hint="eastAsia"/>
          <w:sz w:val="21"/>
          <w:szCs w:val="21"/>
          <w:lang w:val="en-US"/>
        </w:rPr>
        <w:t>元，其中</w:t>
      </w:r>
      <w:r w:rsidRPr="00B84315">
        <w:rPr>
          <w:rFonts w:ascii="Times New Roman" w:eastAsiaTheme="minorEastAsia" w:hAnsiTheme="minorEastAsia" w:hint="eastAsia"/>
          <w:sz w:val="21"/>
          <w:szCs w:val="21"/>
          <w:lang w:val="en-US"/>
        </w:rPr>
        <w:t>账户资产管理费支出</w:t>
      </w:r>
      <w:r w:rsidR="00B84315" w:rsidRPr="00B84315">
        <w:rPr>
          <w:rFonts w:ascii="Times New Roman" w:eastAsiaTheme="minorEastAsia" w:hAnsiTheme="minorEastAsia" w:hint="eastAsia"/>
          <w:sz w:val="21"/>
          <w:szCs w:val="21"/>
          <w:lang w:val="en-US"/>
        </w:rPr>
        <w:t>1,925,278.23</w:t>
      </w:r>
      <w:r w:rsidRPr="00B84315">
        <w:rPr>
          <w:rFonts w:ascii="Times New Roman" w:eastAsiaTheme="minorEastAsia" w:hAnsiTheme="minorEastAsia" w:hint="eastAsia"/>
          <w:sz w:val="21"/>
          <w:szCs w:val="21"/>
          <w:lang w:val="en-US"/>
        </w:rPr>
        <w:t>元，其他支出</w:t>
      </w:r>
      <w:r w:rsidR="00557D8F">
        <w:rPr>
          <w:rFonts w:ascii="Times New Roman" w:eastAsiaTheme="minorEastAsia" w:hAnsiTheme="minorEastAsia" w:hint="eastAsia"/>
          <w:sz w:val="21"/>
          <w:szCs w:val="21"/>
          <w:lang w:val="en-US"/>
        </w:rPr>
        <w:t>98,670.24</w:t>
      </w:r>
      <w:r w:rsidRPr="00B84315">
        <w:rPr>
          <w:rFonts w:ascii="Times New Roman" w:eastAsiaTheme="minorEastAsia" w:hAnsiTheme="minorEastAsia" w:hint="eastAsia"/>
          <w:sz w:val="21"/>
          <w:szCs w:val="21"/>
          <w:lang w:val="en-US"/>
        </w:rPr>
        <w:t>元。</w:t>
      </w:r>
      <w:r w:rsidR="001A4E70" w:rsidRPr="00B84315">
        <w:rPr>
          <w:rFonts w:ascii="Times New Roman" w:eastAsiaTheme="minorEastAsia" w:hAnsiTheme="minorEastAsia" w:hint="eastAsia"/>
          <w:sz w:val="21"/>
          <w:szCs w:val="21"/>
          <w:lang w:val="en-US"/>
        </w:rPr>
        <w:t>本年度</w:t>
      </w:r>
      <w:r w:rsidR="00CB0A29" w:rsidRPr="00B84315">
        <w:rPr>
          <w:rFonts w:ascii="Times New Roman" w:eastAsiaTheme="minorEastAsia" w:hAnsiTheme="minorEastAsia"/>
          <w:sz w:val="21"/>
          <w:szCs w:val="21"/>
          <w:lang w:val="en-US"/>
        </w:rPr>
        <w:t>已实现净收益</w:t>
      </w:r>
      <w:r w:rsidR="00D46E32">
        <w:rPr>
          <w:rFonts w:ascii="Times New Roman" w:eastAsiaTheme="minorEastAsia" w:hAnsiTheme="minorEastAsia" w:hint="eastAsia"/>
          <w:sz w:val="21"/>
          <w:szCs w:val="21"/>
          <w:lang w:val="en-US"/>
        </w:rPr>
        <w:t>5,557,259.96</w:t>
      </w:r>
      <w:r w:rsidR="00CB0A29" w:rsidRPr="00B84315">
        <w:rPr>
          <w:rFonts w:ascii="Times New Roman" w:eastAsiaTheme="minorEastAsia" w:hAnsiTheme="minorEastAsia"/>
          <w:sz w:val="21"/>
          <w:szCs w:val="21"/>
          <w:lang w:val="en-US"/>
        </w:rPr>
        <w:t>元。</w:t>
      </w:r>
    </w:p>
    <w:p w:rsidR="00DD739D" w:rsidRDefault="00DD739D" w:rsidP="00A47CA1">
      <w:pPr>
        <w:spacing w:line="360" w:lineRule="auto"/>
        <w:rPr>
          <w:rFonts w:ascii="Times New Roman" w:eastAsiaTheme="minorEastAsia" w:hAnsi="Times New Roman"/>
          <w:sz w:val="21"/>
          <w:szCs w:val="21"/>
          <w:lang w:val="en-US"/>
        </w:rPr>
      </w:pPr>
    </w:p>
    <w:p w:rsidR="00624E7C" w:rsidRDefault="00CC5E23">
      <w:pPr>
        <w:spacing w:line="360" w:lineRule="auto"/>
        <w:ind w:firstLineChars="196" w:firstLine="413"/>
        <w:contextualSpacing/>
        <w:jc w:val="both"/>
        <w:rPr>
          <w:rFonts w:ascii="Times New Roman" w:eastAsiaTheme="minorEastAsia" w:hAnsiTheme="minorEastAsia"/>
          <w:b/>
          <w:sz w:val="21"/>
          <w:szCs w:val="21"/>
          <w:lang w:val="en-US"/>
        </w:rPr>
      </w:pPr>
      <w:r w:rsidRPr="00CC5E23">
        <w:rPr>
          <w:rFonts w:ascii="Times New Roman" w:eastAsiaTheme="minorEastAsia" w:hAnsiTheme="minorEastAsia" w:hint="eastAsia"/>
          <w:b/>
          <w:sz w:val="21"/>
          <w:szCs w:val="21"/>
          <w:lang w:val="en-US"/>
        </w:rPr>
        <w:t>四、资产管理费情况</w:t>
      </w:r>
    </w:p>
    <w:p w:rsidR="00DD739D" w:rsidRDefault="00CC5E23" w:rsidP="00624E7C">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本公司根据保单条款在每个资产评估日按照投资账户资产净值的比例收取资产管理费，</w:t>
      </w:r>
      <w:r w:rsidR="00A408EB" w:rsidRPr="00D162AA">
        <w:rPr>
          <w:rFonts w:ascii="Times New Roman" w:eastAsiaTheme="minorEastAsia" w:hAnsiTheme="minorEastAsia" w:hint="eastAsia"/>
          <w:sz w:val="21"/>
          <w:szCs w:val="21"/>
          <w:lang w:val="en-US"/>
        </w:rPr>
        <w:t>在不违反相关的法律、法规、规则和规定的前提下，</w:t>
      </w:r>
      <w:r w:rsidR="00D162AA">
        <w:rPr>
          <w:rFonts w:ascii="Times New Roman" w:eastAsiaTheme="minorEastAsia" w:hAnsiTheme="minorEastAsia" w:hint="eastAsia"/>
          <w:sz w:val="21"/>
          <w:szCs w:val="21"/>
          <w:lang w:val="en-US"/>
        </w:rPr>
        <w:t>本公司</w:t>
      </w:r>
      <w:r w:rsidR="00A408EB" w:rsidRPr="00D162AA">
        <w:rPr>
          <w:rFonts w:ascii="Times New Roman" w:eastAsiaTheme="minorEastAsia" w:hAnsiTheme="minorEastAsia" w:hint="eastAsia"/>
          <w:sz w:val="21"/>
          <w:szCs w:val="21"/>
          <w:lang w:val="en-US"/>
        </w:rPr>
        <w:t>有权对资产管理费收取比例进行调整，但该比例最高不超过</w:t>
      </w:r>
      <w:r w:rsidR="00A408EB" w:rsidRPr="00D162AA">
        <w:rPr>
          <w:rFonts w:ascii="Times New Roman" w:eastAsiaTheme="minorEastAsia" w:hAnsiTheme="minorEastAsia"/>
          <w:sz w:val="21"/>
          <w:szCs w:val="21"/>
          <w:lang w:val="en-US"/>
        </w:rPr>
        <w:t>2%</w:t>
      </w:r>
      <w:r w:rsidR="00A408EB" w:rsidRPr="00D162AA">
        <w:rPr>
          <w:rFonts w:ascii="Times New Roman" w:eastAsiaTheme="minorEastAsia" w:hAnsiTheme="minorEastAsia" w:hint="eastAsia"/>
          <w:sz w:val="21"/>
          <w:szCs w:val="21"/>
          <w:lang w:val="en-US"/>
        </w:rPr>
        <w:t>。</w:t>
      </w:r>
    </w:p>
    <w:p w:rsidR="00CC5E23" w:rsidRPr="00624E7C" w:rsidRDefault="00CC5E23" w:rsidP="00624E7C">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624E7C">
        <w:rPr>
          <w:rFonts w:ascii="Times New Roman" w:eastAsiaTheme="minorEastAsia" w:hAnsiTheme="minorEastAsia"/>
          <w:sz w:val="21"/>
          <w:szCs w:val="21"/>
          <w:lang w:val="en-US"/>
        </w:rPr>
        <w:t>201</w:t>
      </w:r>
      <w:r w:rsidR="00624E7C" w:rsidRPr="00624E7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00397343" w:rsidRPr="00624E7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0039159E" w:rsidRPr="00624E7C">
        <w:rPr>
          <w:rFonts w:ascii="Times New Roman" w:eastAsiaTheme="minorEastAsia" w:hAnsiTheme="minorEastAsia"/>
          <w:sz w:val="21"/>
          <w:szCs w:val="21"/>
          <w:lang w:val="en-US"/>
        </w:rPr>
        <w:t>3</w:t>
      </w:r>
      <w:r w:rsidR="00397343" w:rsidRPr="00624E7C">
        <w:rPr>
          <w:rFonts w:ascii="Times New Roman" w:eastAsiaTheme="minorEastAsia" w:hAnsiTheme="minorEastAsia" w:hint="eastAsia"/>
          <w:sz w:val="21"/>
          <w:szCs w:val="21"/>
          <w:lang w:val="en-US"/>
        </w:rPr>
        <w:t>0</w:t>
      </w:r>
      <w:r w:rsidRPr="00CC5E23">
        <w:rPr>
          <w:rFonts w:ascii="Times New Roman" w:eastAsiaTheme="minorEastAsia" w:hAnsiTheme="minorEastAsia" w:hint="eastAsia"/>
          <w:sz w:val="21"/>
          <w:szCs w:val="21"/>
          <w:lang w:val="en-US"/>
        </w:rPr>
        <w:t>日，</w:t>
      </w:r>
      <w:r w:rsidR="004A4B6B">
        <w:rPr>
          <w:rFonts w:ascii="Times New Roman" w:eastAsiaTheme="minorEastAsia" w:hAnsiTheme="minorEastAsia" w:hint="eastAsia"/>
          <w:sz w:val="21"/>
          <w:szCs w:val="21"/>
          <w:lang w:val="en-US"/>
        </w:rPr>
        <w:t>本</w:t>
      </w:r>
      <w:r w:rsidR="00CB0A29" w:rsidRPr="00C27D30">
        <w:rPr>
          <w:rFonts w:ascii="Times New Roman" w:eastAsiaTheme="minorEastAsia" w:hAnsiTheme="minorEastAsia"/>
          <w:sz w:val="21"/>
          <w:szCs w:val="21"/>
          <w:lang w:val="en-US"/>
        </w:rPr>
        <w:t>账户资产管理费</w:t>
      </w:r>
      <w:r w:rsidR="004F765A">
        <w:rPr>
          <w:rFonts w:ascii="Times New Roman" w:eastAsiaTheme="minorEastAsia" w:hAnsiTheme="minorEastAsia" w:hint="eastAsia"/>
          <w:sz w:val="21"/>
          <w:szCs w:val="21"/>
          <w:lang w:val="en-US"/>
        </w:rPr>
        <w:t>累计</w:t>
      </w:r>
      <w:r w:rsidR="00CB0A29" w:rsidRPr="00C27D30">
        <w:rPr>
          <w:rFonts w:ascii="Times New Roman" w:eastAsiaTheme="minorEastAsia" w:hAnsiTheme="minorEastAsia"/>
          <w:sz w:val="21"/>
          <w:szCs w:val="21"/>
          <w:lang w:val="en-US"/>
        </w:rPr>
        <w:t>为</w:t>
      </w:r>
      <w:r w:rsidR="00624E7C" w:rsidRPr="00624E7C">
        <w:rPr>
          <w:rFonts w:ascii="Times New Roman" w:eastAsiaTheme="minorEastAsia" w:hAnsiTheme="minorEastAsia" w:hint="eastAsia"/>
          <w:sz w:val="21"/>
          <w:szCs w:val="21"/>
          <w:lang w:val="en-US"/>
        </w:rPr>
        <w:t>1,925,278.2</w:t>
      </w:r>
      <w:r w:rsidR="005226F6">
        <w:rPr>
          <w:rFonts w:ascii="Times New Roman" w:eastAsiaTheme="minorEastAsia" w:hAnsiTheme="minorEastAsia" w:hint="eastAsia"/>
          <w:sz w:val="21"/>
          <w:szCs w:val="21"/>
          <w:lang w:val="en-US"/>
        </w:rPr>
        <w:t>3</w:t>
      </w:r>
      <w:r w:rsidR="00CB0A29" w:rsidRPr="00624E7C">
        <w:rPr>
          <w:rFonts w:ascii="Times New Roman" w:eastAsiaTheme="minorEastAsia" w:hAnsiTheme="minorEastAsia"/>
          <w:sz w:val="21"/>
          <w:szCs w:val="21"/>
          <w:lang w:val="en-US"/>
        </w:rPr>
        <w:t>元。</w:t>
      </w:r>
    </w:p>
    <w:p w:rsidR="00CC5E23" w:rsidRPr="0039159E" w:rsidRDefault="00CC5E23" w:rsidP="005F681D">
      <w:pPr>
        <w:spacing w:line="360" w:lineRule="auto"/>
        <w:ind w:firstLineChars="200" w:firstLine="420"/>
        <w:contextualSpacing/>
        <w:rPr>
          <w:rFonts w:ascii="Times New Roman" w:eastAsiaTheme="minorEastAsia" w:hAnsi="Times New Roman"/>
          <w:sz w:val="21"/>
          <w:szCs w:val="21"/>
          <w:lang w:val="en-US"/>
        </w:rPr>
      </w:pPr>
    </w:p>
    <w:p w:rsidR="00817A9F" w:rsidRDefault="00CC5E23" w:rsidP="00243AEF">
      <w:pPr>
        <w:spacing w:line="360" w:lineRule="auto"/>
        <w:ind w:firstLineChars="196" w:firstLine="413"/>
        <w:contextualSpacing/>
        <w:jc w:val="both"/>
        <w:rPr>
          <w:rFonts w:ascii="Times New Roman" w:eastAsiaTheme="minorEastAsia" w:hAnsiTheme="minorEastAsia"/>
          <w:b/>
          <w:sz w:val="21"/>
          <w:szCs w:val="21"/>
          <w:lang w:val="en-US"/>
        </w:rPr>
      </w:pPr>
      <w:r w:rsidRPr="00AF5525">
        <w:rPr>
          <w:rFonts w:ascii="Times New Roman" w:eastAsiaTheme="minorEastAsia" w:hAnsiTheme="minorEastAsia" w:hint="eastAsia"/>
          <w:b/>
          <w:sz w:val="21"/>
          <w:szCs w:val="21"/>
          <w:lang w:val="en-US"/>
        </w:rPr>
        <w:t>五、投资组合</w:t>
      </w:r>
    </w:p>
    <w:p w:rsidR="0079203A" w:rsidRPr="00624E7C" w:rsidRDefault="00817A9F" w:rsidP="00114E97">
      <w:pPr>
        <w:spacing w:line="360" w:lineRule="auto"/>
        <w:ind w:firstLineChars="196" w:firstLine="412"/>
        <w:contextualSpacing/>
        <w:jc w:val="both"/>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截至</w:t>
      </w:r>
      <w:r w:rsidRPr="00624E7C">
        <w:rPr>
          <w:rFonts w:ascii="Times New Roman" w:eastAsiaTheme="minorEastAsia" w:hAnsiTheme="minorEastAsia"/>
          <w:sz w:val="21"/>
          <w:szCs w:val="21"/>
          <w:lang w:val="en-US"/>
        </w:rPr>
        <w:t>201</w:t>
      </w:r>
      <w:r w:rsidR="00624E7C" w:rsidRPr="00624E7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年</w:t>
      </w:r>
      <w:r w:rsidRPr="00624E7C">
        <w:rPr>
          <w:rFonts w:ascii="Times New Roman" w:eastAsiaTheme="minorEastAsia" w:hAnsiTheme="minorEastAsia" w:hint="eastAsia"/>
          <w:sz w:val="21"/>
          <w:szCs w:val="21"/>
          <w:lang w:val="en-US"/>
        </w:rPr>
        <w:t>6</w:t>
      </w:r>
      <w:r w:rsidRPr="00CC5E23">
        <w:rPr>
          <w:rFonts w:ascii="Times New Roman" w:eastAsiaTheme="minorEastAsia" w:hAnsiTheme="minorEastAsia" w:hint="eastAsia"/>
          <w:sz w:val="21"/>
          <w:szCs w:val="21"/>
          <w:lang w:val="en-US"/>
        </w:rPr>
        <w:t>月</w:t>
      </w:r>
      <w:r w:rsidRPr="00624E7C">
        <w:rPr>
          <w:rFonts w:ascii="Times New Roman" w:eastAsiaTheme="minorEastAsia" w:hAnsiTheme="minorEastAsia" w:hint="eastAsia"/>
          <w:sz w:val="21"/>
          <w:szCs w:val="21"/>
          <w:lang w:val="en-US"/>
        </w:rPr>
        <w:t>30</w:t>
      </w:r>
      <w:r w:rsidRPr="00CC5E23">
        <w:rPr>
          <w:rFonts w:ascii="Times New Roman" w:eastAsiaTheme="minorEastAsia" w:hAnsiTheme="minorEastAsia" w:hint="eastAsia"/>
          <w:sz w:val="21"/>
          <w:szCs w:val="21"/>
          <w:lang w:val="en-US"/>
        </w:rPr>
        <w:t>日，本账户资产配置情况如下：</w:t>
      </w:r>
      <w:r>
        <w:rPr>
          <w:rFonts w:ascii="Times New Roman" w:eastAsiaTheme="minorEastAsia" w:hAnsiTheme="minorEastAsia" w:hint="eastAsia"/>
          <w:sz w:val="21"/>
          <w:szCs w:val="21"/>
          <w:lang w:val="en-US"/>
        </w:rPr>
        <w:t>流动性资产</w:t>
      </w:r>
      <w:r w:rsidR="00114E97" w:rsidRPr="00114E97">
        <w:rPr>
          <w:rFonts w:ascii="Times New Roman" w:eastAsiaTheme="minorEastAsia" w:hAnsiTheme="minorEastAsia" w:hint="eastAsia"/>
          <w:sz w:val="21"/>
          <w:szCs w:val="21"/>
          <w:lang w:val="en-US"/>
        </w:rPr>
        <w:t>608,943,345.11</w:t>
      </w:r>
      <w:r w:rsidRPr="00624E7C">
        <w:rPr>
          <w:rFonts w:ascii="Times New Roman" w:eastAsiaTheme="minorEastAsia" w:hAnsiTheme="minorEastAsia" w:hint="eastAsia"/>
          <w:sz w:val="21"/>
          <w:szCs w:val="21"/>
          <w:lang w:val="en-US"/>
        </w:rPr>
        <w:t>元</w:t>
      </w:r>
      <w:r w:rsidRPr="00CC5E23">
        <w:rPr>
          <w:rFonts w:ascii="Times New Roman" w:eastAsiaTheme="minorEastAsia" w:hAnsiTheme="minorEastAsia" w:hint="eastAsia"/>
          <w:sz w:val="21"/>
          <w:szCs w:val="21"/>
          <w:lang w:val="en-US"/>
        </w:rPr>
        <w:t>，</w:t>
      </w:r>
      <w:r>
        <w:rPr>
          <w:rFonts w:ascii="Times New Roman" w:eastAsiaTheme="minorEastAsia" w:hAnsiTheme="minorEastAsia" w:hint="eastAsia"/>
          <w:sz w:val="21"/>
          <w:szCs w:val="21"/>
          <w:lang w:val="en-US"/>
        </w:rPr>
        <w:t>固定收益类资产</w:t>
      </w:r>
      <w:r w:rsidR="0063289D">
        <w:rPr>
          <w:rFonts w:ascii="Times New Roman" w:eastAsiaTheme="minorEastAsia" w:hAnsiTheme="minorEastAsia" w:hint="eastAsia"/>
          <w:sz w:val="21"/>
          <w:szCs w:val="21"/>
          <w:lang w:val="en-US"/>
        </w:rPr>
        <w:t>234,400,000.00</w:t>
      </w:r>
      <w:r w:rsidRPr="00CC5E23">
        <w:rPr>
          <w:rFonts w:ascii="Times New Roman" w:eastAsiaTheme="minorEastAsia" w:hAnsiTheme="minorEastAsia" w:hint="eastAsia"/>
          <w:sz w:val="21"/>
          <w:szCs w:val="21"/>
          <w:lang w:val="en-US"/>
        </w:rPr>
        <w:t>元。</w:t>
      </w:r>
    </w:p>
    <w:p w:rsidR="00817A9F" w:rsidRDefault="00817A9F" w:rsidP="00817A9F">
      <w:pPr>
        <w:spacing w:line="360" w:lineRule="auto"/>
        <w:ind w:firstLineChars="196" w:firstLine="412"/>
        <w:contextualSpacing/>
        <w:jc w:val="both"/>
        <w:rPr>
          <w:rFonts w:ascii="Times New Roman" w:eastAsiaTheme="minorEastAsia" w:hAnsi="Times New Roman"/>
          <w:sz w:val="21"/>
          <w:szCs w:val="21"/>
          <w:lang w:val="en-US"/>
        </w:rPr>
      </w:pPr>
    </w:p>
    <w:p w:rsidR="00CC5E23" w:rsidRPr="00CC5E23" w:rsidRDefault="00CC5E23" w:rsidP="00CC5E23">
      <w:pPr>
        <w:spacing w:line="360" w:lineRule="auto"/>
        <w:ind w:rightChars="54" w:right="119" w:firstLineChars="196" w:firstLine="413"/>
        <w:jc w:val="both"/>
        <w:rPr>
          <w:rFonts w:ascii="Times New Roman" w:eastAsiaTheme="minorEastAsia" w:hAnsi="Times New Roman"/>
          <w:b/>
          <w:sz w:val="21"/>
          <w:szCs w:val="21"/>
          <w:lang w:val="en-US"/>
        </w:rPr>
      </w:pPr>
      <w:r w:rsidRPr="00CC5E23">
        <w:rPr>
          <w:rFonts w:ascii="Times New Roman" w:eastAsiaTheme="minorEastAsia" w:hAnsiTheme="minorEastAsia" w:hint="eastAsia"/>
          <w:b/>
          <w:sz w:val="21"/>
          <w:szCs w:val="21"/>
          <w:lang w:val="en-US"/>
        </w:rPr>
        <w:t>六、估值原则</w:t>
      </w:r>
    </w:p>
    <w:p w:rsidR="009E34D8" w:rsidRDefault="009E34D8" w:rsidP="009E34D8">
      <w:pPr>
        <w:spacing w:line="360" w:lineRule="auto"/>
        <w:ind w:firstLineChars="196" w:firstLine="412"/>
        <w:contextualSpacing/>
        <w:jc w:val="both"/>
        <w:rPr>
          <w:rFonts w:ascii="Times New Roman" w:eastAsiaTheme="minorEastAsia" w:hAnsiTheme="minorEastAsia"/>
          <w:sz w:val="21"/>
          <w:szCs w:val="21"/>
          <w:lang w:val="en-US"/>
        </w:rPr>
      </w:pPr>
      <w:r w:rsidRPr="009E34D8">
        <w:rPr>
          <w:rFonts w:ascii="Times New Roman" w:eastAsiaTheme="minorEastAsia" w:hAnsiTheme="minorEastAsia" w:hint="eastAsia"/>
          <w:sz w:val="21"/>
          <w:szCs w:val="21"/>
          <w:lang w:val="en-US"/>
        </w:rPr>
        <w:t>国华</w:t>
      </w:r>
      <w:r w:rsidRPr="009E34D8">
        <w:rPr>
          <w:rFonts w:ascii="Times New Roman" w:eastAsiaTheme="minorEastAsia" w:hAnsiTheme="minorEastAsia"/>
          <w:sz w:val="21"/>
          <w:szCs w:val="21"/>
          <w:lang w:val="en-US"/>
        </w:rPr>
        <w:t>1</w:t>
      </w:r>
      <w:r w:rsidRPr="009E34D8">
        <w:rPr>
          <w:rFonts w:ascii="Times New Roman" w:eastAsiaTheme="minorEastAsia" w:hAnsiTheme="minorEastAsia" w:hint="eastAsia"/>
          <w:sz w:val="21"/>
          <w:szCs w:val="21"/>
          <w:lang w:val="en-US"/>
        </w:rPr>
        <w:t>号保守型投资账户至少每周确定一次投资单位价格。上述投资账户的各类资产按如下原则进行估值：</w:t>
      </w:r>
    </w:p>
    <w:p w:rsidR="00BD1481" w:rsidRPr="00C27D30" w:rsidRDefault="00BD1481" w:rsidP="009E34D8">
      <w:pPr>
        <w:spacing w:line="360" w:lineRule="auto"/>
        <w:ind w:firstLineChars="196" w:firstLine="412"/>
        <w:contextualSpacing/>
        <w:jc w:val="both"/>
        <w:rPr>
          <w:rFonts w:ascii="Times New Roman" w:eastAsiaTheme="minorEastAsia" w:hAnsi="Times New Roman"/>
          <w:sz w:val="21"/>
          <w:szCs w:val="21"/>
          <w:lang w:val="en-US"/>
        </w:rPr>
      </w:pPr>
      <w:r w:rsidRPr="00C27D30">
        <w:rPr>
          <w:rFonts w:ascii="Times New Roman" w:eastAsiaTheme="minorEastAsia" w:hAnsiTheme="minorEastAsia"/>
          <w:sz w:val="21"/>
          <w:szCs w:val="21"/>
          <w:lang w:val="en-US"/>
        </w:rPr>
        <w:t>（一）流动性资产、固定收益类资产、上市权益类资产</w:t>
      </w:r>
    </w:p>
    <w:p w:rsidR="009E34D8" w:rsidRPr="009E34D8" w:rsidRDefault="009E34D8" w:rsidP="009E34D8">
      <w:pPr>
        <w:spacing w:line="360" w:lineRule="auto"/>
        <w:ind w:firstLineChars="196" w:firstLine="412"/>
        <w:contextualSpacing/>
        <w:jc w:val="both"/>
        <w:rPr>
          <w:rFonts w:ascii="Times New Roman" w:eastAsiaTheme="minorEastAsia" w:hAnsiTheme="minorEastAsia"/>
          <w:sz w:val="21"/>
          <w:szCs w:val="21"/>
          <w:lang w:val="en-US"/>
        </w:rPr>
      </w:pPr>
      <w:r w:rsidRPr="009E34D8">
        <w:rPr>
          <w:rFonts w:ascii="Times New Roman" w:eastAsiaTheme="minorEastAsia" w:hAnsiTheme="minorEastAsia" w:hint="eastAsia"/>
          <w:sz w:val="21"/>
          <w:szCs w:val="21"/>
          <w:lang w:val="en-US"/>
        </w:rPr>
        <w:t>下列资产应于合同约定的计价日（以下称“估值日”），按如下原则进行估值：</w:t>
      </w:r>
    </w:p>
    <w:p w:rsidR="009E34D8" w:rsidRPr="009E34D8" w:rsidRDefault="009E34D8" w:rsidP="009E34D8">
      <w:pPr>
        <w:spacing w:line="360" w:lineRule="auto"/>
        <w:ind w:firstLineChars="196" w:firstLine="412"/>
        <w:contextualSpacing/>
        <w:jc w:val="both"/>
        <w:rPr>
          <w:rFonts w:ascii="Times New Roman" w:eastAsiaTheme="minorEastAsia" w:hAnsiTheme="minorEastAsia"/>
          <w:sz w:val="21"/>
          <w:szCs w:val="21"/>
          <w:lang w:val="en-US"/>
        </w:rPr>
      </w:pPr>
      <w:r w:rsidRPr="009E34D8">
        <w:rPr>
          <w:rFonts w:ascii="Times New Roman" w:eastAsiaTheme="minorEastAsia" w:hAnsiTheme="minorEastAsia"/>
          <w:sz w:val="21"/>
          <w:szCs w:val="21"/>
          <w:lang w:val="en-US"/>
        </w:rPr>
        <w:t>1.</w:t>
      </w:r>
      <w:r w:rsidRPr="009E34D8">
        <w:rPr>
          <w:rFonts w:ascii="Times New Roman" w:eastAsiaTheme="minorEastAsia" w:hAnsiTheme="minorEastAsia" w:hint="eastAsia"/>
          <w:sz w:val="21"/>
          <w:szCs w:val="21"/>
          <w:lang w:val="en-US"/>
        </w:rPr>
        <w:t>上市流通的有价证券，以其在证券交易所挂牌的市价（平均价或收盘价，下同）估值；估值日无交易的，以最近交易日的市价估值；</w:t>
      </w:r>
    </w:p>
    <w:p w:rsidR="009E34D8" w:rsidRPr="009E34D8" w:rsidRDefault="009E34D8" w:rsidP="009E34D8">
      <w:pPr>
        <w:spacing w:line="360" w:lineRule="auto"/>
        <w:ind w:firstLineChars="196" w:firstLine="412"/>
        <w:contextualSpacing/>
        <w:jc w:val="both"/>
        <w:rPr>
          <w:rFonts w:ascii="Times New Roman" w:eastAsiaTheme="minorEastAsia" w:hAnsiTheme="minorEastAsia"/>
          <w:sz w:val="21"/>
          <w:szCs w:val="21"/>
          <w:lang w:val="en-US"/>
        </w:rPr>
      </w:pPr>
      <w:r w:rsidRPr="009E34D8">
        <w:rPr>
          <w:rFonts w:ascii="Times New Roman" w:eastAsiaTheme="minorEastAsia" w:hAnsiTheme="minorEastAsia"/>
          <w:sz w:val="21"/>
          <w:szCs w:val="21"/>
          <w:lang w:val="en-US"/>
        </w:rPr>
        <w:t>2.</w:t>
      </w:r>
      <w:r w:rsidRPr="009E34D8">
        <w:rPr>
          <w:rFonts w:ascii="Times New Roman" w:eastAsiaTheme="minorEastAsia" w:hAnsiTheme="minorEastAsia" w:hint="eastAsia"/>
          <w:sz w:val="21"/>
          <w:szCs w:val="21"/>
          <w:lang w:val="en-US"/>
        </w:rPr>
        <w:t>开放式基金，以其公告的基金单位净值估值；处于募集期内的证券投资基金，按其成本估值；</w:t>
      </w:r>
    </w:p>
    <w:p w:rsidR="009E34D8" w:rsidRPr="0059770A" w:rsidRDefault="009E34D8" w:rsidP="0059770A">
      <w:pPr>
        <w:spacing w:line="360" w:lineRule="auto"/>
        <w:ind w:firstLineChars="196" w:firstLine="412"/>
        <w:contextualSpacing/>
        <w:jc w:val="both"/>
        <w:rPr>
          <w:rFonts w:ascii="Times New Roman" w:eastAsiaTheme="minorEastAsia" w:hAnsiTheme="minorEastAsia"/>
          <w:sz w:val="21"/>
          <w:szCs w:val="21"/>
          <w:lang w:val="en-US"/>
        </w:rPr>
      </w:pPr>
      <w:r w:rsidRPr="0059770A">
        <w:rPr>
          <w:rFonts w:ascii="Times New Roman" w:eastAsiaTheme="minorEastAsia" w:hAnsiTheme="minorEastAsia"/>
          <w:sz w:val="21"/>
          <w:szCs w:val="21"/>
          <w:lang w:val="en-US"/>
        </w:rPr>
        <w:t>3.</w:t>
      </w:r>
      <w:r w:rsidRPr="0059770A">
        <w:rPr>
          <w:rFonts w:ascii="Times New Roman" w:eastAsiaTheme="minorEastAsia" w:hAnsiTheme="minorEastAsia" w:hint="eastAsia"/>
          <w:sz w:val="21"/>
          <w:szCs w:val="21"/>
          <w:lang w:val="en-US"/>
        </w:rPr>
        <w:t>如有确凿证据表明按上述方法进行估值不能客观反映其公允价值的，公司应根据具体情况按最能反映公允价值的价格估值。流动性资产、固定收益类资产、上市权益类资产的分类和定义遵照中国保监会资金运用相关监管规定。</w:t>
      </w:r>
    </w:p>
    <w:p w:rsidR="0059770A" w:rsidRDefault="009E34D8" w:rsidP="0059770A">
      <w:pPr>
        <w:spacing w:line="360" w:lineRule="auto"/>
        <w:ind w:firstLineChars="196" w:firstLine="412"/>
        <w:contextualSpacing/>
        <w:jc w:val="both"/>
        <w:rPr>
          <w:rFonts w:ascii="Times New Roman" w:eastAsiaTheme="minorEastAsia" w:hAnsiTheme="minorEastAsia"/>
          <w:sz w:val="21"/>
          <w:szCs w:val="21"/>
          <w:lang w:val="en-US"/>
        </w:rPr>
      </w:pPr>
      <w:r w:rsidRPr="0059770A">
        <w:rPr>
          <w:rFonts w:ascii="Times New Roman" w:eastAsiaTheme="minorEastAsia" w:hAnsiTheme="minorEastAsia" w:hint="eastAsia"/>
          <w:sz w:val="21"/>
          <w:szCs w:val="21"/>
          <w:lang w:val="en-US"/>
        </w:rPr>
        <w:lastRenderedPageBreak/>
        <w:t>（二）基础设施投资计划、不动产相关金融产品、其他金融资产</w:t>
      </w:r>
    </w:p>
    <w:p w:rsidR="0059770A" w:rsidRDefault="009E34D8" w:rsidP="0059770A">
      <w:pPr>
        <w:spacing w:line="360" w:lineRule="auto"/>
        <w:ind w:firstLineChars="196" w:firstLine="412"/>
        <w:contextualSpacing/>
        <w:jc w:val="both"/>
        <w:rPr>
          <w:rFonts w:ascii="Times New Roman" w:eastAsiaTheme="minorEastAsia" w:hAnsi="Times New Roman"/>
          <w:sz w:val="21"/>
          <w:szCs w:val="21"/>
          <w:lang w:val="en-US"/>
        </w:rPr>
      </w:pPr>
      <w:r w:rsidRPr="0059770A">
        <w:rPr>
          <w:rFonts w:ascii="Times New Roman" w:eastAsiaTheme="minorEastAsia" w:hAnsi="Times New Roman" w:hint="eastAsia"/>
          <w:sz w:val="21"/>
          <w:szCs w:val="21"/>
          <w:lang w:val="en-US"/>
        </w:rPr>
        <w:t>由于以上资产不存在公开交易市场，采用账面价值估值，即按照资产的初始投资成本确认账面价值。利息在持有期内于估值日按合同约定的预定收益率计提，对于已到付息日但尚未领取的利息，按照应收利息扣除已计提利息收入的差额，在付息日确认投资收益。</w:t>
      </w:r>
    </w:p>
    <w:p w:rsidR="0059770A" w:rsidRDefault="009E34D8" w:rsidP="0059770A">
      <w:pPr>
        <w:spacing w:line="360" w:lineRule="auto"/>
        <w:ind w:firstLineChars="196" w:firstLine="412"/>
        <w:contextualSpacing/>
        <w:jc w:val="both"/>
        <w:rPr>
          <w:rFonts w:ascii="Times New Roman" w:eastAsiaTheme="minorEastAsia" w:hAnsi="Times New Roman"/>
          <w:sz w:val="21"/>
          <w:szCs w:val="21"/>
          <w:lang w:val="en-US"/>
        </w:rPr>
      </w:pPr>
      <w:r w:rsidRPr="0059770A">
        <w:rPr>
          <w:rFonts w:ascii="Times New Roman" w:eastAsiaTheme="minorEastAsia" w:hAnsi="Times New Roman" w:hint="eastAsia"/>
          <w:sz w:val="21"/>
          <w:szCs w:val="21"/>
          <w:lang w:val="en-US"/>
        </w:rPr>
        <w:t>基础设施投资计划、不动产相关金融产品、其他金融资产的分类和定义遵照中国保监会资金运用的相关监管规定。</w:t>
      </w:r>
    </w:p>
    <w:p w:rsidR="0059770A" w:rsidRPr="0059770A" w:rsidRDefault="0059770A" w:rsidP="0059770A">
      <w:pPr>
        <w:spacing w:line="360" w:lineRule="auto"/>
        <w:ind w:firstLineChars="196" w:firstLine="412"/>
        <w:contextualSpacing/>
        <w:jc w:val="both"/>
        <w:rPr>
          <w:rFonts w:ascii="Times New Roman" w:eastAsiaTheme="minorEastAsia" w:hAnsiTheme="minorEastAsia"/>
          <w:sz w:val="21"/>
          <w:szCs w:val="21"/>
          <w:lang w:val="en-US"/>
        </w:rPr>
      </w:pPr>
      <w:r w:rsidRPr="0059770A">
        <w:rPr>
          <w:rFonts w:ascii="Times New Roman" w:eastAsiaTheme="minorEastAsia" w:hAnsiTheme="minorEastAsia" w:hint="eastAsia"/>
          <w:sz w:val="21"/>
          <w:szCs w:val="21"/>
          <w:lang w:val="en-US"/>
        </w:rPr>
        <w:t>（三）定向增发股票</w:t>
      </w:r>
    </w:p>
    <w:p w:rsidR="003B4F75" w:rsidRDefault="0059770A" w:rsidP="0059770A">
      <w:pPr>
        <w:spacing w:line="360" w:lineRule="auto"/>
        <w:ind w:firstLineChars="196" w:firstLine="412"/>
        <w:contextualSpacing/>
        <w:jc w:val="both"/>
        <w:rPr>
          <w:rFonts w:ascii="Times New Roman" w:eastAsiaTheme="minorEastAsia" w:hAnsiTheme="minorEastAsia"/>
          <w:sz w:val="21"/>
          <w:szCs w:val="21"/>
          <w:lang w:val="en-US"/>
        </w:rPr>
      </w:pPr>
      <w:r w:rsidRPr="0059770A">
        <w:rPr>
          <w:rFonts w:ascii="Times New Roman" w:eastAsiaTheme="minorEastAsia" w:hAnsi="Times New Roman" w:hint="eastAsia"/>
          <w:sz w:val="21"/>
          <w:szCs w:val="21"/>
          <w:lang w:val="en-US"/>
        </w:rPr>
        <w:t>定向增发股票的估值方法如下：有公开市场的定向增发股票，在估值日当天，如公开市场的公允价值低于定向增发的初始取得成本，按公允价值估值。如公允价值高于定向增发的初始取得成本，估值价值为：初始成本价＋（公允价值－初始成本价）×起始锁定日到估值日的期间占总锁定期的比例。无公开市场的定向增发，在估值日按账面价值估值。</w:t>
      </w:r>
    </w:p>
    <w:p w:rsidR="0059770A" w:rsidRPr="00BD1481" w:rsidRDefault="0059770A" w:rsidP="0059770A">
      <w:pPr>
        <w:spacing w:line="360" w:lineRule="auto"/>
        <w:ind w:firstLineChars="196" w:firstLine="412"/>
        <w:contextualSpacing/>
        <w:jc w:val="both"/>
        <w:rPr>
          <w:rFonts w:ascii="Times New Roman" w:eastAsiaTheme="minorEastAsia" w:hAnsi="Times New Roman"/>
          <w:sz w:val="21"/>
          <w:szCs w:val="21"/>
          <w:lang w:val="en-US"/>
        </w:rPr>
      </w:pPr>
    </w:p>
    <w:p w:rsidR="00CC5E23" w:rsidRPr="00CC5E23" w:rsidRDefault="007D56A1" w:rsidP="005F681D">
      <w:pPr>
        <w:pStyle w:val="ae"/>
        <w:spacing w:line="360" w:lineRule="auto"/>
        <w:ind w:leftChars="181" w:left="820" w:firstLineChars="0" w:hanging="422"/>
        <w:jc w:val="both"/>
        <w:rPr>
          <w:rFonts w:ascii="Times New Roman" w:eastAsiaTheme="minorEastAsia" w:hAnsi="Times New Roman"/>
          <w:b/>
          <w:sz w:val="21"/>
          <w:szCs w:val="21"/>
          <w:lang w:val="en-US"/>
        </w:rPr>
      </w:pPr>
      <w:r>
        <w:rPr>
          <w:rFonts w:ascii="Times New Roman" w:eastAsiaTheme="minorEastAsia" w:hAnsiTheme="minorEastAsia" w:hint="eastAsia"/>
          <w:b/>
          <w:sz w:val="21"/>
          <w:szCs w:val="21"/>
          <w:lang w:val="en-US"/>
        </w:rPr>
        <w:t>七</w:t>
      </w:r>
      <w:r w:rsidR="00CC5E23" w:rsidRPr="00CC5E23">
        <w:rPr>
          <w:rFonts w:ascii="Times New Roman" w:eastAsiaTheme="minorEastAsia" w:hAnsiTheme="minorEastAsia" w:hint="eastAsia"/>
          <w:b/>
          <w:sz w:val="21"/>
          <w:szCs w:val="21"/>
          <w:lang w:val="en-US"/>
        </w:rPr>
        <w:t>、托管银行变更</w:t>
      </w:r>
    </w:p>
    <w:p w:rsidR="00765285" w:rsidRPr="00944FE4" w:rsidRDefault="00C25CDB" w:rsidP="00944FE4">
      <w:pPr>
        <w:pStyle w:val="ae"/>
        <w:spacing w:line="360" w:lineRule="auto"/>
        <w:ind w:leftChars="165" w:left="363" w:right="200" w:firstLineChars="0" w:firstLine="0"/>
        <w:rPr>
          <w:rFonts w:ascii="Times New Roman" w:eastAsiaTheme="minorEastAsia" w:hAnsiTheme="minorEastAsia"/>
          <w:sz w:val="21"/>
          <w:szCs w:val="21"/>
          <w:lang w:val="en-US"/>
        </w:rPr>
      </w:pPr>
      <w:r>
        <w:rPr>
          <w:rFonts w:ascii="Times New Roman" w:eastAsiaTheme="minorEastAsia" w:hAnsiTheme="minorEastAsia" w:hint="eastAsia"/>
          <w:sz w:val="21"/>
          <w:szCs w:val="21"/>
          <w:lang w:val="en-US"/>
        </w:rPr>
        <w:t>本账户由中国</w:t>
      </w:r>
      <w:r w:rsidR="0026503F">
        <w:rPr>
          <w:rFonts w:ascii="Times New Roman" w:eastAsiaTheme="minorEastAsia" w:hAnsiTheme="minorEastAsia" w:hint="eastAsia"/>
          <w:sz w:val="21"/>
          <w:szCs w:val="21"/>
          <w:lang w:val="en-US"/>
        </w:rPr>
        <w:t>农业</w:t>
      </w:r>
      <w:r w:rsidR="00CC5E23" w:rsidRPr="00CC5E23">
        <w:rPr>
          <w:rFonts w:ascii="Times New Roman" w:eastAsiaTheme="minorEastAsia" w:hAnsiTheme="minorEastAsia" w:hint="eastAsia"/>
          <w:sz w:val="21"/>
          <w:szCs w:val="21"/>
          <w:lang w:val="en-US"/>
        </w:rPr>
        <w:t>银行托管，截至</w:t>
      </w:r>
      <w:r w:rsidR="00CC5E23" w:rsidRPr="00CC5E23">
        <w:rPr>
          <w:rFonts w:ascii="Times New Roman" w:eastAsiaTheme="minorEastAsia" w:hAnsi="Times New Roman"/>
          <w:sz w:val="21"/>
          <w:szCs w:val="21"/>
          <w:lang w:val="en-US"/>
        </w:rPr>
        <w:t>201</w:t>
      </w:r>
      <w:r w:rsidR="0059770A">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年</w:t>
      </w:r>
      <w:r w:rsidR="00476FD4">
        <w:rPr>
          <w:rFonts w:ascii="Times New Roman" w:eastAsiaTheme="minorEastAsia" w:hAnsi="Times New Roman" w:hint="eastAsia"/>
          <w:sz w:val="21"/>
          <w:szCs w:val="21"/>
          <w:lang w:val="en-US"/>
        </w:rPr>
        <w:t>6</w:t>
      </w:r>
      <w:r w:rsidR="00CC5E23" w:rsidRPr="00CC5E23">
        <w:rPr>
          <w:rFonts w:ascii="Times New Roman" w:eastAsiaTheme="minorEastAsia" w:hAnsiTheme="minorEastAsia" w:hint="eastAsia"/>
          <w:sz w:val="21"/>
          <w:szCs w:val="21"/>
          <w:lang w:val="en-US"/>
        </w:rPr>
        <w:t>月</w:t>
      </w:r>
      <w:r w:rsidR="00C77A32">
        <w:rPr>
          <w:rFonts w:ascii="Times New Roman" w:eastAsiaTheme="minorEastAsia" w:hAnsi="Times New Roman"/>
          <w:sz w:val="21"/>
          <w:szCs w:val="21"/>
          <w:lang w:val="en-US"/>
        </w:rPr>
        <w:t>3</w:t>
      </w:r>
      <w:r w:rsidR="00476FD4">
        <w:rPr>
          <w:rFonts w:ascii="Times New Roman" w:eastAsiaTheme="minorEastAsia" w:hAnsi="Times New Roman" w:hint="eastAsia"/>
          <w:sz w:val="21"/>
          <w:szCs w:val="21"/>
          <w:lang w:val="en-US"/>
        </w:rPr>
        <w:t>0</w:t>
      </w:r>
      <w:r w:rsidR="00CC5E23" w:rsidRPr="00CC5E23">
        <w:rPr>
          <w:rFonts w:ascii="Times New Roman" w:eastAsiaTheme="minorEastAsia" w:hAnsiTheme="minorEastAsia" w:hint="eastAsia"/>
          <w:sz w:val="21"/>
          <w:szCs w:val="21"/>
          <w:lang w:val="en-US"/>
        </w:rPr>
        <w:t>日，托管银行未发生变更。</w:t>
      </w:r>
    </w:p>
    <w:p w:rsidR="00DD739D" w:rsidRDefault="00CC5E23">
      <w:pPr>
        <w:pStyle w:val="ae"/>
        <w:spacing w:line="360" w:lineRule="auto"/>
        <w:ind w:leftChars="165" w:left="363" w:right="200" w:firstLineChars="0" w:firstLine="0"/>
        <w:jc w:val="right"/>
        <w:rPr>
          <w:rFonts w:ascii="Times New Roman" w:eastAsiaTheme="minorEastAsia" w:hAnsiTheme="minorEastAsia"/>
          <w:sz w:val="21"/>
          <w:szCs w:val="21"/>
          <w:lang w:val="en-US"/>
        </w:rPr>
      </w:pPr>
      <w:r w:rsidRPr="00CC5E23">
        <w:rPr>
          <w:rFonts w:ascii="Times New Roman" w:eastAsiaTheme="minorEastAsia" w:hAnsiTheme="minorEastAsia" w:hint="eastAsia"/>
          <w:sz w:val="21"/>
          <w:szCs w:val="21"/>
          <w:lang w:val="en-US"/>
        </w:rPr>
        <w:t>国华人寿保险股份有限公司</w:t>
      </w:r>
    </w:p>
    <w:p w:rsidR="00B303B3" w:rsidRDefault="009E7565">
      <w:pPr>
        <w:pStyle w:val="ae"/>
        <w:spacing w:line="360" w:lineRule="auto"/>
        <w:ind w:leftChars="165" w:left="363" w:right="200" w:firstLineChars="0" w:firstLine="0"/>
        <w:jc w:val="right"/>
        <w:rPr>
          <w:rFonts w:ascii="Times New Roman" w:eastAsiaTheme="minorEastAsia" w:hAnsi="Times New Roman"/>
          <w:sz w:val="20"/>
          <w:szCs w:val="20"/>
          <w:lang w:val="en-US"/>
        </w:rPr>
      </w:pPr>
      <w:r>
        <w:rPr>
          <w:rFonts w:ascii="Times New Roman" w:eastAsiaTheme="minorEastAsia" w:hAnsiTheme="minorEastAsia" w:hint="eastAsia"/>
          <w:sz w:val="21"/>
          <w:szCs w:val="21"/>
          <w:lang w:val="en-US"/>
        </w:rPr>
        <w:t>201</w:t>
      </w:r>
      <w:r w:rsidR="0059770A">
        <w:rPr>
          <w:rFonts w:ascii="Times New Roman" w:eastAsiaTheme="minorEastAsia" w:hAnsiTheme="minorEastAsia" w:hint="eastAsia"/>
          <w:sz w:val="21"/>
          <w:szCs w:val="21"/>
          <w:lang w:val="en-US"/>
        </w:rPr>
        <w:t>6</w:t>
      </w:r>
      <w:r w:rsidR="00732C74">
        <w:rPr>
          <w:rFonts w:ascii="Times New Roman" w:eastAsiaTheme="minorEastAsia" w:hAnsiTheme="minorEastAsia" w:hint="eastAsia"/>
          <w:sz w:val="21"/>
          <w:szCs w:val="21"/>
          <w:lang w:val="en-US"/>
        </w:rPr>
        <w:t>年</w:t>
      </w:r>
      <w:r w:rsidR="00A47CA1">
        <w:rPr>
          <w:rFonts w:ascii="Times New Roman" w:eastAsiaTheme="minorEastAsia" w:hAnsiTheme="minorEastAsia" w:hint="eastAsia"/>
          <w:sz w:val="21"/>
          <w:szCs w:val="21"/>
          <w:lang w:val="en-US"/>
        </w:rPr>
        <w:t>8</w:t>
      </w:r>
      <w:r w:rsidR="00732C74">
        <w:rPr>
          <w:rFonts w:ascii="Times New Roman" w:eastAsiaTheme="minorEastAsia" w:hAnsiTheme="minorEastAsia" w:hint="eastAsia"/>
          <w:sz w:val="21"/>
          <w:szCs w:val="21"/>
          <w:lang w:val="en-US"/>
        </w:rPr>
        <w:t>月</w:t>
      </w:r>
      <w:r w:rsidR="00AE18AC">
        <w:rPr>
          <w:rFonts w:ascii="Times New Roman" w:eastAsiaTheme="minorEastAsia" w:hAnsiTheme="minorEastAsia" w:hint="eastAsia"/>
          <w:sz w:val="21"/>
          <w:szCs w:val="21"/>
          <w:lang w:val="en-US"/>
        </w:rPr>
        <w:t>22</w:t>
      </w:r>
      <w:r w:rsidR="00732C74">
        <w:rPr>
          <w:rFonts w:ascii="Times New Roman" w:eastAsiaTheme="minorEastAsia" w:hAnsiTheme="minorEastAsia" w:hint="eastAsia"/>
          <w:sz w:val="21"/>
          <w:szCs w:val="21"/>
          <w:lang w:val="en-US"/>
        </w:rPr>
        <w:t>日</w:t>
      </w:r>
    </w:p>
    <w:sectPr w:rsidR="00B303B3" w:rsidSect="0053215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348" w:rsidRDefault="00800348" w:rsidP="00011B89">
      <w:r>
        <w:separator/>
      </w:r>
    </w:p>
  </w:endnote>
  <w:endnote w:type="continuationSeparator" w:id="1">
    <w:p w:rsidR="00800348" w:rsidRDefault="00800348" w:rsidP="00011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08672"/>
      <w:docPartObj>
        <w:docPartGallery w:val="Page Numbers (Bottom of Page)"/>
        <w:docPartUnique/>
      </w:docPartObj>
    </w:sdtPr>
    <w:sdtEndPr>
      <w:rPr>
        <w:rFonts w:ascii="Times New Roman" w:hAnsi="Times New Roman"/>
      </w:rPr>
    </w:sdtEndPr>
    <w:sdtContent>
      <w:p w:rsidR="009C62B9" w:rsidRDefault="00F14610">
        <w:pPr>
          <w:pStyle w:val="ad"/>
          <w:jc w:val="center"/>
        </w:pPr>
        <w:r w:rsidRPr="00CC5E23">
          <w:rPr>
            <w:rFonts w:ascii="Times New Roman" w:hAnsi="Times New Roman"/>
          </w:rPr>
          <w:fldChar w:fldCharType="begin"/>
        </w:r>
        <w:r w:rsidR="00CC5E23" w:rsidRPr="00CC5E23">
          <w:rPr>
            <w:rFonts w:ascii="Times New Roman" w:hAnsi="Times New Roman"/>
          </w:rPr>
          <w:instrText xml:space="preserve"> PAGE   \* MERGEFORMAT </w:instrText>
        </w:r>
        <w:r w:rsidRPr="00CC5E23">
          <w:rPr>
            <w:rFonts w:ascii="Times New Roman" w:hAnsi="Times New Roman"/>
          </w:rPr>
          <w:fldChar w:fldCharType="separate"/>
        </w:r>
        <w:r w:rsidR="00156F17" w:rsidRPr="00156F17">
          <w:rPr>
            <w:rFonts w:ascii="Times New Roman" w:hAnsi="Times New Roman"/>
            <w:noProof/>
            <w:lang w:val="zh-CN"/>
          </w:rPr>
          <w:t>6</w:t>
        </w:r>
        <w:r w:rsidRPr="00CC5E23">
          <w:rPr>
            <w:rFonts w:ascii="Times New Roman" w:hAnsi="Times New Roman"/>
          </w:rPr>
          <w:fldChar w:fldCharType="end"/>
        </w:r>
      </w:p>
    </w:sdtContent>
  </w:sdt>
  <w:p w:rsidR="009C62B9" w:rsidRDefault="009C62B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348" w:rsidRDefault="00800348" w:rsidP="00011B89">
      <w:r>
        <w:separator/>
      </w:r>
    </w:p>
  </w:footnote>
  <w:footnote w:type="continuationSeparator" w:id="1">
    <w:p w:rsidR="00800348" w:rsidRDefault="00800348" w:rsidP="00011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1651B"/>
    <w:multiLevelType w:val="hybridMultilevel"/>
    <w:tmpl w:val="94E45A68"/>
    <w:lvl w:ilvl="0" w:tplc="7E667D4E">
      <w:start w:val="1"/>
      <w:numFmt w:val="japaneseCounting"/>
      <w:lvlText w:val="%1、"/>
      <w:lvlJc w:val="left"/>
      <w:pPr>
        <w:ind w:left="825" w:hanging="42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41424C63"/>
    <w:multiLevelType w:val="hybridMultilevel"/>
    <w:tmpl w:val="DF24F57C"/>
    <w:lvl w:ilvl="0" w:tplc="E9FE35A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22533A"/>
    <w:multiLevelType w:val="hybridMultilevel"/>
    <w:tmpl w:val="C65EB284"/>
    <w:lvl w:ilvl="0" w:tplc="F84616F2">
      <w:start w:val="2"/>
      <w:numFmt w:val="japaneseCounting"/>
      <w:lvlText w:val="%1、"/>
      <w:lvlJc w:val="left"/>
      <w:pPr>
        <w:ind w:left="1140" w:hanging="720"/>
      </w:pPr>
      <w:rPr>
        <w:rFonts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A5F3113"/>
    <w:multiLevelType w:val="hybridMultilevel"/>
    <w:tmpl w:val="9AE6E09E"/>
    <w:lvl w:ilvl="0" w:tplc="4204E05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3C0A8E"/>
    <w:multiLevelType w:val="hybridMultilevel"/>
    <w:tmpl w:val="B3380540"/>
    <w:lvl w:ilvl="0" w:tplc="5E068E6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F514BF3"/>
    <w:multiLevelType w:val="hybridMultilevel"/>
    <w:tmpl w:val="76D6795C"/>
    <w:lvl w:ilvl="0" w:tplc="43185BF0">
      <w:start w:val="1"/>
      <w:numFmt w:val="japaneseCounting"/>
      <w:lvlText w:val="第%1条"/>
      <w:lvlJc w:val="left"/>
      <w:pPr>
        <w:ind w:left="885" w:hanging="885"/>
      </w:pPr>
      <w:rPr>
        <w:rFonts w:hint="default"/>
        <w:b/>
        <w:lang w:val="en-US"/>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F5E0439"/>
    <w:multiLevelType w:val="hybridMultilevel"/>
    <w:tmpl w:val="49DC00A0"/>
    <w:lvl w:ilvl="0" w:tplc="DE26F76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54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B89"/>
    <w:rsid w:val="00000BD6"/>
    <w:rsid w:val="00011B89"/>
    <w:rsid w:val="00020603"/>
    <w:rsid w:val="00025704"/>
    <w:rsid w:val="000332D3"/>
    <w:rsid w:val="000364EE"/>
    <w:rsid w:val="0004138A"/>
    <w:rsid w:val="000415DD"/>
    <w:rsid w:val="00043417"/>
    <w:rsid w:val="00044A70"/>
    <w:rsid w:val="00050660"/>
    <w:rsid w:val="00061BA0"/>
    <w:rsid w:val="00066FC7"/>
    <w:rsid w:val="00074FBE"/>
    <w:rsid w:val="000767A0"/>
    <w:rsid w:val="00080027"/>
    <w:rsid w:val="00080AEA"/>
    <w:rsid w:val="00080F1B"/>
    <w:rsid w:val="00087631"/>
    <w:rsid w:val="00094C6F"/>
    <w:rsid w:val="00097B2E"/>
    <w:rsid w:val="000A22C1"/>
    <w:rsid w:val="000A6ECD"/>
    <w:rsid w:val="000B01B0"/>
    <w:rsid w:val="000B0704"/>
    <w:rsid w:val="000B3723"/>
    <w:rsid w:val="000B588D"/>
    <w:rsid w:val="000C199F"/>
    <w:rsid w:val="000C465D"/>
    <w:rsid w:val="000C475C"/>
    <w:rsid w:val="000C5501"/>
    <w:rsid w:val="000D0021"/>
    <w:rsid w:val="000D1E2F"/>
    <w:rsid w:val="000D2BF4"/>
    <w:rsid w:val="000D5D60"/>
    <w:rsid w:val="000E18F0"/>
    <w:rsid w:val="000E2424"/>
    <w:rsid w:val="000E3070"/>
    <w:rsid w:val="000E4491"/>
    <w:rsid w:val="000E6389"/>
    <w:rsid w:val="000F1EF8"/>
    <w:rsid w:val="00104526"/>
    <w:rsid w:val="00104CE9"/>
    <w:rsid w:val="00114E97"/>
    <w:rsid w:val="00120979"/>
    <w:rsid w:val="00134527"/>
    <w:rsid w:val="001345E0"/>
    <w:rsid w:val="00150B9F"/>
    <w:rsid w:val="00156F17"/>
    <w:rsid w:val="00166291"/>
    <w:rsid w:val="00192354"/>
    <w:rsid w:val="00193A4D"/>
    <w:rsid w:val="001955F8"/>
    <w:rsid w:val="00197ADC"/>
    <w:rsid w:val="001A3BDE"/>
    <w:rsid w:val="001A4E70"/>
    <w:rsid w:val="001B3160"/>
    <w:rsid w:val="001B5C32"/>
    <w:rsid w:val="001C4C44"/>
    <w:rsid w:val="001C5AD7"/>
    <w:rsid w:val="001D6BC2"/>
    <w:rsid w:val="001E2522"/>
    <w:rsid w:val="001F0A72"/>
    <w:rsid w:val="001F4774"/>
    <w:rsid w:val="00202BBB"/>
    <w:rsid w:val="00204AF3"/>
    <w:rsid w:val="00206FCB"/>
    <w:rsid w:val="00234108"/>
    <w:rsid w:val="00243AEF"/>
    <w:rsid w:val="00244C1E"/>
    <w:rsid w:val="00245C48"/>
    <w:rsid w:val="0025060C"/>
    <w:rsid w:val="00256CEA"/>
    <w:rsid w:val="00257888"/>
    <w:rsid w:val="0026503F"/>
    <w:rsid w:val="00265A06"/>
    <w:rsid w:val="002669A3"/>
    <w:rsid w:val="00267C20"/>
    <w:rsid w:val="0028122C"/>
    <w:rsid w:val="002818C2"/>
    <w:rsid w:val="00284709"/>
    <w:rsid w:val="00290828"/>
    <w:rsid w:val="002959D1"/>
    <w:rsid w:val="002A495C"/>
    <w:rsid w:val="002B6D67"/>
    <w:rsid w:val="002C1AB0"/>
    <w:rsid w:val="002C767B"/>
    <w:rsid w:val="002D0FC9"/>
    <w:rsid w:val="002D5D8A"/>
    <w:rsid w:val="002D78DF"/>
    <w:rsid w:val="002E693B"/>
    <w:rsid w:val="002F77C8"/>
    <w:rsid w:val="003076EC"/>
    <w:rsid w:val="00310294"/>
    <w:rsid w:val="00315156"/>
    <w:rsid w:val="00321E3D"/>
    <w:rsid w:val="003232E1"/>
    <w:rsid w:val="00334F16"/>
    <w:rsid w:val="00351F19"/>
    <w:rsid w:val="003554A0"/>
    <w:rsid w:val="00385092"/>
    <w:rsid w:val="00386C36"/>
    <w:rsid w:val="0039159E"/>
    <w:rsid w:val="00395251"/>
    <w:rsid w:val="00397343"/>
    <w:rsid w:val="003A0E2E"/>
    <w:rsid w:val="003B4903"/>
    <w:rsid w:val="003B4F75"/>
    <w:rsid w:val="003D06CB"/>
    <w:rsid w:val="003D36DF"/>
    <w:rsid w:val="003E73BD"/>
    <w:rsid w:val="00403B38"/>
    <w:rsid w:val="00413B6B"/>
    <w:rsid w:val="00415A0B"/>
    <w:rsid w:val="00424E6F"/>
    <w:rsid w:val="00436699"/>
    <w:rsid w:val="00436FCF"/>
    <w:rsid w:val="00451CCE"/>
    <w:rsid w:val="00463D03"/>
    <w:rsid w:val="00465788"/>
    <w:rsid w:val="00473649"/>
    <w:rsid w:val="00476FD4"/>
    <w:rsid w:val="00487EEA"/>
    <w:rsid w:val="00492C2C"/>
    <w:rsid w:val="004A4B6B"/>
    <w:rsid w:val="004B223A"/>
    <w:rsid w:val="004C7FB7"/>
    <w:rsid w:val="004D2D9C"/>
    <w:rsid w:val="004E2444"/>
    <w:rsid w:val="004E4A68"/>
    <w:rsid w:val="004E573E"/>
    <w:rsid w:val="004F765A"/>
    <w:rsid w:val="00502F68"/>
    <w:rsid w:val="00511803"/>
    <w:rsid w:val="00516A3F"/>
    <w:rsid w:val="005226F6"/>
    <w:rsid w:val="00523317"/>
    <w:rsid w:val="00532157"/>
    <w:rsid w:val="005362DE"/>
    <w:rsid w:val="00544C62"/>
    <w:rsid w:val="00550981"/>
    <w:rsid w:val="00557D8F"/>
    <w:rsid w:val="00574C1E"/>
    <w:rsid w:val="0057770E"/>
    <w:rsid w:val="00581096"/>
    <w:rsid w:val="005832EA"/>
    <w:rsid w:val="00585436"/>
    <w:rsid w:val="0059154D"/>
    <w:rsid w:val="0059613D"/>
    <w:rsid w:val="0059770A"/>
    <w:rsid w:val="005A1886"/>
    <w:rsid w:val="005A65AD"/>
    <w:rsid w:val="005A755D"/>
    <w:rsid w:val="005B5F8B"/>
    <w:rsid w:val="005E14BF"/>
    <w:rsid w:val="005E27CF"/>
    <w:rsid w:val="005E4A25"/>
    <w:rsid w:val="005F15EC"/>
    <w:rsid w:val="005F681D"/>
    <w:rsid w:val="00612B98"/>
    <w:rsid w:val="006168BA"/>
    <w:rsid w:val="0061706E"/>
    <w:rsid w:val="006222BE"/>
    <w:rsid w:val="00624E7C"/>
    <w:rsid w:val="00630533"/>
    <w:rsid w:val="006316DF"/>
    <w:rsid w:val="006326AD"/>
    <w:rsid w:val="0063289D"/>
    <w:rsid w:val="00635DE5"/>
    <w:rsid w:val="00645923"/>
    <w:rsid w:val="00647FA8"/>
    <w:rsid w:val="00650691"/>
    <w:rsid w:val="006573C8"/>
    <w:rsid w:val="006611BF"/>
    <w:rsid w:val="00663AD5"/>
    <w:rsid w:val="00667A6B"/>
    <w:rsid w:val="00677F8B"/>
    <w:rsid w:val="00680335"/>
    <w:rsid w:val="006917A4"/>
    <w:rsid w:val="006927EA"/>
    <w:rsid w:val="00696F22"/>
    <w:rsid w:val="006A171B"/>
    <w:rsid w:val="006A6844"/>
    <w:rsid w:val="006C28BB"/>
    <w:rsid w:val="006E09AA"/>
    <w:rsid w:val="00700F98"/>
    <w:rsid w:val="00702281"/>
    <w:rsid w:val="007119A5"/>
    <w:rsid w:val="00712D38"/>
    <w:rsid w:val="00720880"/>
    <w:rsid w:val="007211C1"/>
    <w:rsid w:val="007214D6"/>
    <w:rsid w:val="00721938"/>
    <w:rsid w:val="00723106"/>
    <w:rsid w:val="0072630E"/>
    <w:rsid w:val="00730149"/>
    <w:rsid w:val="00732685"/>
    <w:rsid w:val="00732C74"/>
    <w:rsid w:val="007376E3"/>
    <w:rsid w:val="007511D3"/>
    <w:rsid w:val="00753384"/>
    <w:rsid w:val="007577D9"/>
    <w:rsid w:val="00762BE1"/>
    <w:rsid w:val="00765285"/>
    <w:rsid w:val="007655D7"/>
    <w:rsid w:val="00773CFA"/>
    <w:rsid w:val="007740EC"/>
    <w:rsid w:val="007809B0"/>
    <w:rsid w:val="00787E9B"/>
    <w:rsid w:val="0079203A"/>
    <w:rsid w:val="007A63AC"/>
    <w:rsid w:val="007A7FFC"/>
    <w:rsid w:val="007B11F0"/>
    <w:rsid w:val="007D56A1"/>
    <w:rsid w:val="007E517E"/>
    <w:rsid w:val="007F3080"/>
    <w:rsid w:val="007F4BF0"/>
    <w:rsid w:val="00800348"/>
    <w:rsid w:val="0080372A"/>
    <w:rsid w:val="00805CA0"/>
    <w:rsid w:val="008064A4"/>
    <w:rsid w:val="00810CB7"/>
    <w:rsid w:val="008121EB"/>
    <w:rsid w:val="00813914"/>
    <w:rsid w:val="00814F1B"/>
    <w:rsid w:val="008158CE"/>
    <w:rsid w:val="00817A9F"/>
    <w:rsid w:val="00832C1E"/>
    <w:rsid w:val="00832FFB"/>
    <w:rsid w:val="00834180"/>
    <w:rsid w:val="00845F74"/>
    <w:rsid w:val="00846419"/>
    <w:rsid w:val="00861D1B"/>
    <w:rsid w:val="00865FB0"/>
    <w:rsid w:val="00866C6B"/>
    <w:rsid w:val="00874961"/>
    <w:rsid w:val="008838BF"/>
    <w:rsid w:val="00891EC5"/>
    <w:rsid w:val="00892D4E"/>
    <w:rsid w:val="00892F5F"/>
    <w:rsid w:val="00893CBC"/>
    <w:rsid w:val="008A01B3"/>
    <w:rsid w:val="008A48B1"/>
    <w:rsid w:val="008B5973"/>
    <w:rsid w:val="008C7A80"/>
    <w:rsid w:val="008D04F8"/>
    <w:rsid w:val="008D2B85"/>
    <w:rsid w:val="008E495A"/>
    <w:rsid w:val="008E587C"/>
    <w:rsid w:val="008E6890"/>
    <w:rsid w:val="008F26FC"/>
    <w:rsid w:val="009144B4"/>
    <w:rsid w:val="00914CD8"/>
    <w:rsid w:val="0091629F"/>
    <w:rsid w:val="00933ECF"/>
    <w:rsid w:val="009359B5"/>
    <w:rsid w:val="00937FE2"/>
    <w:rsid w:val="00941891"/>
    <w:rsid w:val="009443A6"/>
    <w:rsid w:val="00944FE4"/>
    <w:rsid w:val="009477BD"/>
    <w:rsid w:val="00951AF5"/>
    <w:rsid w:val="00953C74"/>
    <w:rsid w:val="009547FB"/>
    <w:rsid w:val="009555BD"/>
    <w:rsid w:val="00960C05"/>
    <w:rsid w:val="00975271"/>
    <w:rsid w:val="00976D54"/>
    <w:rsid w:val="0098304A"/>
    <w:rsid w:val="009906B9"/>
    <w:rsid w:val="00992BEF"/>
    <w:rsid w:val="009A1464"/>
    <w:rsid w:val="009B1EDA"/>
    <w:rsid w:val="009B362C"/>
    <w:rsid w:val="009B5BF8"/>
    <w:rsid w:val="009C62B9"/>
    <w:rsid w:val="009E0EC6"/>
    <w:rsid w:val="009E34D8"/>
    <w:rsid w:val="009E7565"/>
    <w:rsid w:val="009F4D4B"/>
    <w:rsid w:val="009F4FB9"/>
    <w:rsid w:val="009F6EE4"/>
    <w:rsid w:val="009F7406"/>
    <w:rsid w:val="00A03E0B"/>
    <w:rsid w:val="00A06784"/>
    <w:rsid w:val="00A1205D"/>
    <w:rsid w:val="00A143B4"/>
    <w:rsid w:val="00A15358"/>
    <w:rsid w:val="00A17555"/>
    <w:rsid w:val="00A241BB"/>
    <w:rsid w:val="00A40232"/>
    <w:rsid w:val="00A408EB"/>
    <w:rsid w:val="00A46B83"/>
    <w:rsid w:val="00A47CA1"/>
    <w:rsid w:val="00A521E8"/>
    <w:rsid w:val="00A52652"/>
    <w:rsid w:val="00A5314E"/>
    <w:rsid w:val="00A55EC2"/>
    <w:rsid w:val="00A6233D"/>
    <w:rsid w:val="00A718F5"/>
    <w:rsid w:val="00A77E7E"/>
    <w:rsid w:val="00A87B7F"/>
    <w:rsid w:val="00A9690D"/>
    <w:rsid w:val="00AA030B"/>
    <w:rsid w:val="00AA7B6E"/>
    <w:rsid w:val="00AC4D4B"/>
    <w:rsid w:val="00AC5802"/>
    <w:rsid w:val="00AC77F4"/>
    <w:rsid w:val="00AD1DD5"/>
    <w:rsid w:val="00AE18AC"/>
    <w:rsid w:val="00AE2C0D"/>
    <w:rsid w:val="00AF546A"/>
    <w:rsid w:val="00AF5525"/>
    <w:rsid w:val="00B033E8"/>
    <w:rsid w:val="00B121E5"/>
    <w:rsid w:val="00B21A13"/>
    <w:rsid w:val="00B249DC"/>
    <w:rsid w:val="00B303B3"/>
    <w:rsid w:val="00B73459"/>
    <w:rsid w:val="00B76202"/>
    <w:rsid w:val="00B8414F"/>
    <w:rsid w:val="00B84315"/>
    <w:rsid w:val="00B9568F"/>
    <w:rsid w:val="00BA18CC"/>
    <w:rsid w:val="00BA3245"/>
    <w:rsid w:val="00BB1AFA"/>
    <w:rsid w:val="00BB2B06"/>
    <w:rsid w:val="00BB400A"/>
    <w:rsid w:val="00BD0AAD"/>
    <w:rsid w:val="00BD1481"/>
    <w:rsid w:val="00BD4E6D"/>
    <w:rsid w:val="00BD7336"/>
    <w:rsid w:val="00BE32F9"/>
    <w:rsid w:val="00BF0CF3"/>
    <w:rsid w:val="00BF34AF"/>
    <w:rsid w:val="00BF7071"/>
    <w:rsid w:val="00C023C9"/>
    <w:rsid w:val="00C04A63"/>
    <w:rsid w:val="00C1196E"/>
    <w:rsid w:val="00C157AD"/>
    <w:rsid w:val="00C2090F"/>
    <w:rsid w:val="00C226A8"/>
    <w:rsid w:val="00C22853"/>
    <w:rsid w:val="00C24782"/>
    <w:rsid w:val="00C25AE1"/>
    <w:rsid w:val="00C25CDB"/>
    <w:rsid w:val="00C3022D"/>
    <w:rsid w:val="00C30483"/>
    <w:rsid w:val="00C309B0"/>
    <w:rsid w:val="00C630B7"/>
    <w:rsid w:val="00C6753C"/>
    <w:rsid w:val="00C74A88"/>
    <w:rsid w:val="00C77A32"/>
    <w:rsid w:val="00C817D1"/>
    <w:rsid w:val="00C9035D"/>
    <w:rsid w:val="00C94950"/>
    <w:rsid w:val="00C94A62"/>
    <w:rsid w:val="00C958B6"/>
    <w:rsid w:val="00CA5639"/>
    <w:rsid w:val="00CB0179"/>
    <w:rsid w:val="00CB0A29"/>
    <w:rsid w:val="00CB3657"/>
    <w:rsid w:val="00CB40FE"/>
    <w:rsid w:val="00CB6C72"/>
    <w:rsid w:val="00CC32A6"/>
    <w:rsid w:val="00CC5E23"/>
    <w:rsid w:val="00CD07F5"/>
    <w:rsid w:val="00CD3965"/>
    <w:rsid w:val="00CD3C8E"/>
    <w:rsid w:val="00CD456D"/>
    <w:rsid w:val="00CD48BA"/>
    <w:rsid w:val="00CD6347"/>
    <w:rsid w:val="00CE438C"/>
    <w:rsid w:val="00CF5FFC"/>
    <w:rsid w:val="00CF6BFC"/>
    <w:rsid w:val="00D1268B"/>
    <w:rsid w:val="00D162AA"/>
    <w:rsid w:val="00D20C1C"/>
    <w:rsid w:val="00D27C07"/>
    <w:rsid w:val="00D46E32"/>
    <w:rsid w:val="00D7082A"/>
    <w:rsid w:val="00D827DF"/>
    <w:rsid w:val="00D87786"/>
    <w:rsid w:val="00DB302F"/>
    <w:rsid w:val="00DC3C5C"/>
    <w:rsid w:val="00DD739D"/>
    <w:rsid w:val="00DD7AFB"/>
    <w:rsid w:val="00DE0C02"/>
    <w:rsid w:val="00DE23A6"/>
    <w:rsid w:val="00DF0F23"/>
    <w:rsid w:val="00DF2409"/>
    <w:rsid w:val="00DF5DB4"/>
    <w:rsid w:val="00E07774"/>
    <w:rsid w:val="00E147FF"/>
    <w:rsid w:val="00E14B51"/>
    <w:rsid w:val="00E24666"/>
    <w:rsid w:val="00E257A0"/>
    <w:rsid w:val="00E257AA"/>
    <w:rsid w:val="00E30B1D"/>
    <w:rsid w:val="00E30EB4"/>
    <w:rsid w:val="00E344C2"/>
    <w:rsid w:val="00E34EB5"/>
    <w:rsid w:val="00E357AF"/>
    <w:rsid w:val="00E363FB"/>
    <w:rsid w:val="00E41D19"/>
    <w:rsid w:val="00E63CCF"/>
    <w:rsid w:val="00E71649"/>
    <w:rsid w:val="00E73D0F"/>
    <w:rsid w:val="00E812CA"/>
    <w:rsid w:val="00E857C7"/>
    <w:rsid w:val="00E90CB6"/>
    <w:rsid w:val="00E91F9B"/>
    <w:rsid w:val="00E93F76"/>
    <w:rsid w:val="00EB1954"/>
    <w:rsid w:val="00EC31ED"/>
    <w:rsid w:val="00F00D4F"/>
    <w:rsid w:val="00F02345"/>
    <w:rsid w:val="00F04A63"/>
    <w:rsid w:val="00F077DC"/>
    <w:rsid w:val="00F14012"/>
    <w:rsid w:val="00F14610"/>
    <w:rsid w:val="00F154AC"/>
    <w:rsid w:val="00F3348D"/>
    <w:rsid w:val="00F3357A"/>
    <w:rsid w:val="00F35783"/>
    <w:rsid w:val="00F424D8"/>
    <w:rsid w:val="00F42E49"/>
    <w:rsid w:val="00F521C7"/>
    <w:rsid w:val="00F54C7C"/>
    <w:rsid w:val="00F60DAA"/>
    <w:rsid w:val="00F60FE6"/>
    <w:rsid w:val="00F62C66"/>
    <w:rsid w:val="00F648C5"/>
    <w:rsid w:val="00F64BBE"/>
    <w:rsid w:val="00F67C39"/>
    <w:rsid w:val="00F717E3"/>
    <w:rsid w:val="00F804AE"/>
    <w:rsid w:val="00FA21F3"/>
    <w:rsid w:val="00FA25B9"/>
    <w:rsid w:val="00FB14D4"/>
    <w:rsid w:val="00FB36F8"/>
    <w:rsid w:val="00FD4036"/>
    <w:rsid w:val="00FE439D"/>
    <w:rsid w:val="00FF2A7C"/>
    <w:rsid w:val="00FF7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036"/>
    <w:rPr>
      <w:rFonts w:ascii="Arial" w:hAnsi="Arial"/>
      <w:sz w:val="22"/>
      <w:szCs w:val="24"/>
      <w:lang w:val="en-GB"/>
    </w:rPr>
  </w:style>
  <w:style w:type="paragraph" w:styleId="1">
    <w:name w:val="heading 1"/>
    <w:basedOn w:val="a"/>
    <w:next w:val="a"/>
    <w:link w:val="1Char"/>
    <w:autoRedefine/>
    <w:qFormat/>
    <w:rsid w:val="00FD4036"/>
    <w:pPr>
      <w:keepNext/>
      <w:keepLines/>
      <w:widowControl w:val="0"/>
      <w:spacing w:beforeLines="100" w:afterLines="100"/>
      <w:ind w:firstLineChars="200" w:firstLine="640"/>
      <w:outlineLvl w:val="0"/>
    </w:pPr>
    <w:rPr>
      <w:rFonts w:ascii="Times New Roman" w:eastAsia="黑体" w:hAnsi="Times New Roman"/>
      <w:bCs/>
      <w:kern w:val="44"/>
      <w:sz w:val="32"/>
      <w:szCs w:val="28"/>
      <w:lang w:val="en-US"/>
    </w:rPr>
  </w:style>
  <w:style w:type="paragraph" w:styleId="3">
    <w:name w:val="heading 3"/>
    <w:basedOn w:val="a"/>
    <w:next w:val="a"/>
    <w:link w:val="3Char"/>
    <w:autoRedefine/>
    <w:qFormat/>
    <w:rsid w:val="00FD4036"/>
    <w:pPr>
      <w:keepNext/>
      <w:keepLines/>
      <w:widowControl w:val="0"/>
      <w:tabs>
        <w:tab w:val="left" w:pos="7560"/>
      </w:tabs>
      <w:spacing w:beforeLines="100" w:line="360" w:lineRule="auto"/>
      <w:ind w:firstLineChars="200" w:firstLine="506"/>
      <w:outlineLvl w:val="2"/>
    </w:pPr>
    <w:rPr>
      <w:rFonts w:ascii="宋体" w:hAnsi="宋体"/>
      <w:b/>
      <w:bCs/>
      <w:spacing w:val="6"/>
      <w:kern w:val="2"/>
      <w:sz w:val="24"/>
      <w:lang w:val="en-US"/>
    </w:rPr>
  </w:style>
  <w:style w:type="paragraph" w:styleId="7">
    <w:name w:val="heading 7"/>
    <w:basedOn w:val="a"/>
    <w:next w:val="a"/>
    <w:link w:val="7Char"/>
    <w:qFormat/>
    <w:rsid w:val="00FD403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036"/>
    <w:rPr>
      <w:rFonts w:eastAsia="黑体"/>
      <w:bCs/>
      <w:kern w:val="44"/>
      <w:sz w:val="32"/>
      <w:szCs w:val="28"/>
      <w:lang w:val="en-US" w:eastAsia="zh-CN" w:bidi="ar-SA"/>
    </w:rPr>
  </w:style>
  <w:style w:type="character" w:customStyle="1" w:styleId="3Char">
    <w:name w:val="标题 3 Char"/>
    <w:basedOn w:val="a0"/>
    <w:link w:val="3"/>
    <w:rsid w:val="00FD4036"/>
    <w:rPr>
      <w:rFonts w:ascii="宋体" w:eastAsia="宋体" w:hAnsi="宋体"/>
      <w:b/>
      <w:bCs/>
      <w:spacing w:val="6"/>
      <w:kern w:val="2"/>
      <w:sz w:val="24"/>
      <w:szCs w:val="24"/>
      <w:lang w:val="en-US" w:eastAsia="zh-CN" w:bidi="ar-SA"/>
    </w:rPr>
  </w:style>
  <w:style w:type="character" w:customStyle="1" w:styleId="7Char">
    <w:name w:val="标题 7 Char"/>
    <w:basedOn w:val="a0"/>
    <w:link w:val="7"/>
    <w:rsid w:val="00FD4036"/>
    <w:rPr>
      <w:rFonts w:ascii="Arial" w:hAnsi="Arial"/>
      <w:b/>
      <w:bCs/>
      <w:sz w:val="24"/>
      <w:szCs w:val="24"/>
      <w:lang w:val="en-GB"/>
    </w:rPr>
  </w:style>
  <w:style w:type="character" w:styleId="a3">
    <w:name w:val="Strong"/>
    <w:basedOn w:val="a0"/>
    <w:qFormat/>
    <w:rsid w:val="00FD4036"/>
    <w:rPr>
      <w:rFonts w:cs="Times New Roman"/>
      <w:b/>
      <w:bCs/>
    </w:rPr>
  </w:style>
  <w:style w:type="paragraph" w:customStyle="1" w:styleId="a4">
    <w:name w:val="一级标题"/>
    <w:basedOn w:val="a"/>
    <w:link w:val="Char"/>
    <w:qFormat/>
    <w:rsid w:val="00FD4036"/>
    <w:pPr>
      <w:keepNext/>
      <w:keepLines/>
      <w:widowControl w:val="0"/>
      <w:spacing w:beforeLines="100" w:afterLines="100" w:line="360" w:lineRule="auto"/>
      <w:ind w:firstLineChars="200" w:firstLine="747"/>
      <w:outlineLvl w:val="0"/>
    </w:pPr>
    <w:rPr>
      <w:rFonts w:ascii="宋体" w:hAnsi="宋体" w:cs="宋体"/>
      <w:b/>
      <w:spacing w:val="6"/>
      <w:kern w:val="44"/>
      <w:sz w:val="36"/>
      <w:szCs w:val="36"/>
      <w:lang w:val="en-US"/>
    </w:rPr>
  </w:style>
  <w:style w:type="character" w:customStyle="1" w:styleId="Char">
    <w:name w:val="一级标题 Char"/>
    <w:basedOn w:val="a0"/>
    <w:link w:val="a4"/>
    <w:rsid w:val="00FD4036"/>
    <w:rPr>
      <w:rFonts w:ascii="宋体" w:hAnsi="宋体" w:cs="宋体"/>
      <w:b/>
      <w:spacing w:val="6"/>
      <w:kern w:val="44"/>
      <w:sz w:val="36"/>
      <w:szCs w:val="36"/>
    </w:rPr>
  </w:style>
  <w:style w:type="paragraph" w:customStyle="1" w:styleId="a5">
    <w:name w:val="新正文"/>
    <w:basedOn w:val="a"/>
    <w:link w:val="Char0"/>
    <w:qFormat/>
    <w:rsid w:val="00FD4036"/>
    <w:pPr>
      <w:widowControl w:val="0"/>
      <w:spacing w:line="360" w:lineRule="auto"/>
      <w:ind w:firstLineChars="200" w:firstLine="444"/>
    </w:pPr>
    <w:rPr>
      <w:rFonts w:ascii="Times New Roman" w:hAnsi="Times New Roman"/>
      <w:spacing w:val="6"/>
      <w:kern w:val="2"/>
      <w:sz w:val="21"/>
      <w:szCs w:val="21"/>
      <w:lang w:val="en-US"/>
    </w:rPr>
  </w:style>
  <w:style w:type="character" w:customStyle="1" w:styleId="Char0">
    <w:name w:val="新正文 Char"/>
    <w:basedOn w:val="a0"/>
    <w:link w:val="a5"/>
    <w:rsid w:val="00FD4036"/>
    <w:rPr>
      <w:spacing w:val="6"/>
      <w:kern w:val="2"/>
      <w:sz w:val="21"/>
      <w:szCs w:val="21"/>
    </w:rPr>
  </w:style>
  <w:style w:type="paragraph" w:customStyle="1" w:styleId="a6">
    <w:name w:val="三级标题"/>
    <w:link w:val="Char1"/>
    <w:qFormat/>
    <w:rsid w:val="00FD4036"/>
  </w:style>
  <w:style w:type="paragraph" w:styleId="a7">
    <w:name w:val="Body Text Indent"/>
    <w:basedOn w:val="a"/>
    <w:link w:val="Char2"/>
    <w:uiPriority w:val="99"/>
    <w:semiHidden/>
    <w:unhideWhenUsed/>
    <w:rsid w:val="00FD4036"/>
    <w:pPr>
      <w:spacing w:after="120"/>
      <w:ind w:leftChars="200" w:left="420"/>
    </w:pPr>
  </w:style>
  <w:style w:type="character" w:customStyle="1" w:styleId="Char2">
    <w:name w:val="正文文本缩进 Char"/>
    <w:basedOn w:val="a0"/>
    <w:link w:val="a7"/>
    <w:uiPriority w:val="99"/>
    <w:semiHidden/>
    <w:rsid w:val="00FD4036"/>
    <w:rPr>
      <w:rFonts w:ascii="Arial" w:hAnsi="Arial"/>
      <w:sz w:val="22"/>
      <w:szCs w:val="24"/>
      <w:lang w:val="en-GB"/>
    </w:rPr>
  </w:style>
  <w:style w:type="character" w:customStyle="1" w:styleId="Char1">
    <w:name w:val="三级标题 Char"/>
    <w:basedOn w:val="Char2"/>
    <w:link w:val="a6"/>
    <w:rsid w:val="00FD4036"/>
  </w:style>
  <w:style w:type="paragraph" w:customStyle="1" w:styleId="a8">
    <w:name w:val="二级标题"/>
    <w:basedOn w:val="a6"/>
    <w:link w:val="Char3"/>
    <w:qFormat/>
    <w:rsid w:val="00FD4036"/>
    <w:pPr>
      <w:widowControl w:val="0"/>
      <w:adjustRightInd w:val="0"/>
      <w:spacing w:beforeLines="100" w:line="360" w:lineRule="auto"/>
      <w:ind w:firstLineChars="200" w:firstLine="506"/>
      <w:jc w:val="both"/>
      <w:outlineLvl w:val="1"/>
    </w:pPr>
    <w:rPr>
      <w:rFonts w:ascii="宋体"/>
      <w:b/>
      <w:spacing w:val="6"/>
      <w:kern w:val="2"/>
      <w:sz w:val="24"/>
    </w:rPr>
  </w:style>
  <w:style w:type="character" w:customStyle="1" w:styleId="Char3">
    <w:name w:val="二级标题 Char"/>
    <w:basedOn w:val="Char1"/>
    <w:link w:val="a8"/>
    <w:rsid w:val="00FD4036"/>
    <w:rPr>
      <w:rFonts w:ascii="宋体"/>
      <w:b/>
      <w:spacing w:val="6"/>
      <w:kern w:val="2"/>
      <w:sz w:val="24"/>
    </w:rPr>
  </w:style>
  <w:style w:type="paragraph" w:customStyle="1" w:styleId="a9">
    <w:name w:val="四级标题"/>
    <w:basedOn w:val="a"/>
    <w:link w:val="Char4"/>
    <w:qFormat/>
    <w:rsid w:val="00FD4036"/>
    <w:pPr>
      <w:widowControl w:val="0"/>
      <w:snapToGrid w:val="0"/>
      <w:spacing w:beforeLines="100" w:line="360" w:lineRule="auto"/>
      <w:ind w:firstLineChars="200" w:firstLine="446"/>
      <w:outlineLvl w:val="3"/>
    </w:pPr>
    <w:rPr>
      <w:rFonts w:ascii="宋体" w:hAnsi="宋体"/>
      <w:b/>
      <w:spacing w:val="6"/>
      <w:kern w:val="2"/>
      <w:sz w:val="21"/>
      <w:szCs w:val="21"/>
      <w:lang w:val="en-US"/>
    </w:rPr>
  </w:style>
  <w:style w:type="character" w:customStyle="1" w:styleId="Char4">
    <w:name w:val="四级标题 Char"/>
    <w:basedOn w:val="a0"/>
    <w:link w:val="a9"/>
    <w:rsid w:val="00FD4036"/>
    <w:rPr>
      <w:rFonts w:ascii="宋体" w:hAnsi="宋体"/>
      <w:b/>
      <w:spacing w:val="6"/>
      <w:kern w:val="2"/>
      <w:sz w:val="21"/>
      <w:szCs w:val="21"/>
    </w:rPr>
  </w:style>
  <w:style w:type="paragraph" w:customStyle="1" w:styleId="aa">
    <w:name w:val="四级后标题"/>
    <w:basedOn w:val="a"/>
    <w:link w:val="Char5"/>
    <w:qFormat/>
    <w:rsid w:val="00FD4036"/>
    <w:pPr>
      <w:widowControl w:val="0"/>
      <w:snapToGrid w:val="0"/>
      <w:spacing w:beforeLines="100" w:line="360" w:lineRule="auto"/>
      <w:ind w:firstLineChars="200" w:firstLine="446"/>
    </w:pPr>
    <w:rPr>
      <w:rFonts w:ascii="宋体" w:hAnsi="宋体"/>
      <w:b/>
      <w:spacing w:val="6"/>
      <w:kern w:val="2"/>
      <w:sz w:val="21"/>
      <w:szCs w:val="21"/>
      <w:lang w:val="en-US"/>
    </w:rPr>
  </w:style>
  <w:style w:type="character" w:customStyle="1" w:styleId="Char5">
    <w:name w:val="四级后标题 Char"/>
    <w:basedOn w:val="a0"/>
    <w:link w:val="aa"/>
    <w:rsid w:val="00FD4036"/>
    <w:rPr>
      <w:rFonts w:ascii="宋体" w:hAnsi="宋体"/>
      <w:b/>
      <w:spacing w:val="6"/>
      <w:kern w:val="2"/>
      <w:sz w:val="21"/>
      <w:szCs w:val="21"/>
    </w:rPr>
  </w:style>
  <w:style w:type="paragraph" w:customStyle="1" w:styleId="ab">
    <w:name w:val="明细表名称"/>
    <w:basedOn w:val="a"/>
    <w:link w:val="Char6"/>
    <w:qFormat/>
    <w:rsid w:val="00FD4036"/>
    <w:pPr>
      <w:widowControl w:val="0"/>
      <w:spacing w:line="360" w:lineRule="auto"/>
      <w:ind w:firstLineChars="200" w:firstLine="492"/>
    </w:pPr>
    <w:rPr>
      <w:rFonts w:ascii="宋体" w:hAnsi="宋体"/>
      <w:bCs/>
      <w:kern w:val="2"/>
      <w:sz w:val="24"/>
      <w:lang w:val="en-US"/>
    </w:rPr>
  </w:style>
  <w:style w:type="character" w:customStyle="1" w:styleId="Char6">
    <w:name w:val="明细表名称 Char"/>
    <w:basedOn w:val="a0"/>
    <w:link w:val="ab"/>
    <w:rsid w:val="00FD4036"/>
    <w:rPr>
      <w:rFonts w:ascii="宋体" w:hAnsi="宋体"/>
      <w:bCs/>
      <w:kern w:val="2"/>
      <w:sz w:val="24"/>
      <w:szCs w:val="24"/>
    </w:rPr>
  </w:style>
  <w:style w:type="paragraph" w:styleId="ac">
    <w:name w:val="header"/>
    <w:basedOn w:val="a"/>
    <w:link w:val="Char7"/>
    <w:uiPriority w:val="99"/>
    <w:semiHidden/>
    <w:unhideWhenUsed/>
    <w:rsid w:val="00011B89"/>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semiHidden/>
    <w:rsid w:val="00011B89"/>
    <w:rPr>
      <w:rFonts w:ascii="Arial" w:hAnsi="Arial"/>
      <w:sz w:val="18"/>
      <w:szCs w:val="18"/>
      <w:lang w:val="en-GB"/>
    </w:rPr>
  </w:style>
  <w:style w:type="paragraph" w:styleId="ad">
    <w:name w:val="footer"/>
    <w:basedOn w:val="a"/>
    <w:link w:val="Char8"/>
    <w:uiPriority w:val="99"/>
    <w:unhideWhenUsed/>
    <w:rsid w:val="00011B89"/>
    <w:pPr>
      <w:tabs>
        <w:tab w:val="center" w:pos="4153"/>
        <w:tab w:val="right" w:pos="8306"/>
      </w:tabs>
      <w:snapToGrid w:val="0"/>
    </w:pPr>
    <w:rPr>
      <w:sz w:val="18"/>
      <w:szCs w:val="18"/>
    </w:rPr>
  </w:style>
  <w:style w:type="character" w:customStyle="1" w:styleId="Char8">
    <w:name w:val="页脚 Char"/>
    <w:basedOn w:val="a0"/>
    <w:link w:val="ad"/>
    <w:uiPriority w:val="99"/>
    <w:rsid w:val="00011B89"/>
    <w:rPr>
      <w:rFonts w:ascii="Arial" w:hAnsi="Arial"/>
      <w:sz w:val="18"/>
      <w:szCs w:val="18"/>
      <w:lang w:val="en-GB"/>
    </w:rPr>
  </w:style>
  <w:style w:type="paragraph" w:styleId="ae">
    <w:name w:val="List Paragraph"/>
    <w:basedOn w:val="a"/>
    <w:uiPriority w:val="34"/>
    <w:qFormat/>
    <w:rsid w:val="00011B89"/>
    <w:pPr>
      <w:ind w:firstLineChars="200" w:firstLine="420"/>
    </w:pPr>
  </w:style>
  <w:style w:type="paragraph" w:styleId="af">
    <w:name w:val="Balloon Text"/>
    <w:basedOn w:val="a"/>
    <w:link w:val="Char9"/>
    <w:uiPriority w:val="99"/>
    <w:semiHidden/>
    <w:unhideWhenUsed/>
    <w:rsid w:val="00DF5DB4"/>
    <w:rPr>
      <w:sz w:val="18"/>
      <w:szCs w:val="18"/>
    </w:rPr>
  </w:style>
  <w:style w:type="character" w:customStyle="1" w:styleId="Char9">
    <w:name w:val="批注框文本 Char"/>
    <w:basedOn w:val="a0"/>
    <w:link w:val="af"/>
    <w:uiPriority w:val="99"/>
    <w:semiHidden/>
    <w:rsid w:val="00DF5DB4"/>
    <w:rPr>
      <w:rFonts w:ascii="Arial" w:hAnsi="Arial"/>
      <w:sz w:val="18"/>
      <w:szCs w:val="18"/>
      <w:lang w:val="en-GB"/>
    </w:rPr>
  </w:style>
  <w:style w:type="paragraph" w:customStyle="1" w:styleId="Default">
    <w:name w:val="Default"/>
    <w:rsid w:val="001B3160"/>
    <w:pPr>
      <w:widowControl w:val="0"/>
      <w:autoSpaceDE w:val="0"/>
      <w:autoSpaceDN w:val="0"/>
      <w:adjustRightInd w:val="0"/>
    </w:pPr>
    <w:rPr>
      <w:rFonts w:ascii="宋体" w:cs="宋体"/>
      <w:color w:val="000000"/>
      <w:sz w:val="24"/>
      <w:szCs w:val="24"/>
    </w:rPr>
  </w:style>
  <w:style w:type="paragraph" w:styleId="af0">
    <w:name w:val="Date"/>
    <w:basedOn w:val="a"/>
    <w:next w:val="a"/>
    <w:link w:val="Chara"/>
    <w:uiPriority w:val="99"/>
    <w:semiHidden/>
    <w:unhideWhenUsed/>
    <w:rsid w:val="009B5BF8"/>
    <w:pPr>
      <w:ind w:leftChars="2500" w:left="100"/>
    </w:pPr>
  </w:style>
  <w:style w:type="character" w:customStyle="1" w:styleId="Chara">
    <w:name w:val="日期 Char"/>
    <w:basedOn w:val="a0"/>
    <w:link w:val="af0"/>
    <w:uiPriority w:val="99"/>
    <w:semiHidden/>
    <w:rsid w:val="009B5BF8"/>
    <w:rPr>
      <w:rFonts w:ascii="Arial" w:hAnsi="Arial"/>
      <w:sz w:val="22"/>
      <w:szCs w:val="24"/>
      <w:lang w:val="en-GB"/>
    </w:rPr>
  </w:style>
  <w:style w:type="table" w:styleId="af1">
    <w:name w:val="Table Grid"/>
    <w:basedOn w:val="a1"/>
    <w:uiPriority w:val="59"/>
    <w:rsid w:val="007D5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59274">
      <w:bodyDiv w:val="1"/>
      <w:marLeft w:val="0"/>
      <w:marRight w:val="0"/>
      <w:marTop w:val="0"/>
      <w:marBottom w:val="0"/>
      <w:divBdr>
        <w:top w:val="none" w:sz="0" w:space="0" w:color="auto"/>
        <w:left w:val="none" w:sz="0" w:space="0" w:color="auto"/>
        <w:bottom w:val="none" w:sz="0" w:space="0" w:color="auto"/>
        <w:right w:val="none" w:sz="0" w:space="0" w:color="auto"/>
      </w:divBdr>
    </w:div>
    <w:div w:id="92476202">
      <w:bodyDiv w:val="1"/>
      <w:marLeft w:val="0"/>
      <w:marRight w:val="0"/>
      <w:marTop w:val="0"/>
      <w:marBottom w:val="0"/>
      <w:divBdr>
        <w:top w:val="none" w:sz="0" w:space="0" w:color="auto"/>
        <w:left w:val="none" w:sz="0" w:space="0" w:color="auto"/>
        <w:bottom w:val="none" w:sz="0" w:space="0" w:color="auto"/>
        <w:right w:val="none" w:sz="0" w:space="0" w:color="auto"/>
      </w:divBdr>
    </w:div>
    <w:div w:id="136145076">
      <w:bodyDiv w:val="1"/>
      <w:marLeft w:val="0"/>
      <w:marRight w:val="0"/>
      <w:marTop w:val="0"/>
      <w:marBottom w:val="0"/>
      <w:divBdr>
        <w:top w:val="none" w:sz="0" w:space="0" w:color="auto"/>
        <w:left w:val="none" w:sz="0" w:space="0" w:color="auto"/>
        <w:bottom w:val="none" w:sz="0" w:space="0" w:color="auto"/>
        <w:right w:val="none" w:sz="0" w:space="0" w:color="auto"/>
      </w:divBdr>
    </w:div>
    <w:div w:id="147946715">
      <w:bodyDiv w:val="1"/>
      <w:marLeft w:val="0"/>
      <w:marRight w:val="0"/>
      <w:marTop w:val="0"/>
      <w:marBottom w:val="0"/>
      <w:divBdr>
        <w:top w:val="none" w:sz="0" w:space="0" w:color="auto"/>
        <w:left w:val="none" w:sz="0" w:space="0" w:color="auto"/>
        <w:bottom w:val="none" w:sz="0" w:space="0" w:color="auto"/>
        <w:right w:val="none" w:sz="0" w:space="0" w:color="auto"/>
      </w:divBdr>
    </w:div>
    <w:div w:id="150803966">
      <w:bodyDiv w:val="1"/>
      <w:marLeft w:val="0"/>
      <w:marRight w:val="0"/>
      <w:marTop w:val="0"/>
      <w:marBottom w:val="0"/>
      <w:divBdr>
        <w:top w:val="none" w:sz="0" w:space="0" w:color="auto"/>
        <w:left w:val="none" w:sz="0" w:space="0" w:color="auto"/>
        <w:bottom w:val="none" w:sz="0" w:space="0" w:color="auto"/>
        <w:right w:val="none" w:sz="0" w:space="0" w:color="auto"/>
      </w:divBdr>
    </w:div>
    <w:div w:id="200476705">
      <w:bodyDiv w:val="1"/>
      <w:marLeft w:val="0"/>
      <w:marRight w:val="0"/>
      <w:marTop w:val="0"/>
      <w:marBottom w:val="0"/>
      <w:divBdr>
        <w:top w:val="none" w:sz="0" w:space="0" w:color="auto"/>
        <w:left w:val="none" w:sz="0" w:space="0" w:color="auto"/>
        <w:bottom w:val="none" w:sz="0" w:space="0" w:color="auto"/>
        <w:right w:val="none" w:sz="0" w:space="0" w:color="auto"/>
      </w:divBdr>
    </w:div>
    <w:div w:id="227568827">
      <w:bodyDiv w:val="1"/>
      <w:marLeft w:val="0"/>
      <w:marRight w:val="0"/>
      <w:marTop w:val="0"/>
      <w:marBottom w:val="0"/>
      <w:divBdr>
        <w:top w:val="none" w:sz="0" w:space="0" w:color="auto"/>
        <w:left w:val="none" w:sz="0" w:space="0" w:color="auto"/>
        <w:bottom w:val="none" w:sz="0" w:space="0" w:color="auto"/>
        <w:right w:val="none" w:sz="0" w:space="0" w:color="auto"/>
      </w:divBdr>
    </w:div>
    <w:div w:id="235210533">
      <w:bodyDiv w:val="1"/>
      <w:marLeft w:val="0"/>
      <w:marRight w:val="0"/>
      <w:marTop w:val="0"/>
      <w:marBottom w:val="0"/>
      <w:divBdr>
        <w:top w:val="none" w:sz="0" w:space="0" w:color="auto"/>
        <w:left w:val="none" w:sz="0" w:space="0" w:color="auto"/>
        <w:bottom w:val="none" w:sz="0" w:space="0" w:color="auto"/>
        <w:right w:val="none" w:sz="0" w:space="0" w:color="auto"/>
      </w:divBdr>
    </w:div>
    <w:div w:id="237178793">
      <w:bodyDiv w:val="1"/>
      <w:marLeft w:val="0"/>
      <w:marRight w:val="0"/>
      <w:marTop w:val="0"/>
      <w:marBottom w:val="0"/>
      <w:divBdr>
        <w:top w:val="none" w:sz="0" w:space="0" w:color="auto"/>
        <w:left w:val="none" w:sz="0" w:space="0" w:color="auto"/>
        <w:bottom w:val="none" w:sz="0" w:space="0" w:color="auto"/>
        <w:right w:val="none" w:sz="0" w:space="0" w:color="auto"/>
      </w:divBdr>
    </w:div>
    <w:div w:id="253902541">
      <w:bodyDiv w:val="1"/>
      <w:marLeft w:val="0"/>
      <w:marRight w:val="0"/>
      <w:marTop w:val="0"/>
      <w:marBottom w:val="0"/>
      <w:divBdr>
        <w:top w:val="none" w:sz="0" w:space="0" w:color="auto"/>
        <w:left w:val="none" w:sz="0" w:space="0" w:color="auto"/>
        <w:bottom w:val="none" w:sz="0" w:space="0" w:color="auto"/>
        <w:right w:val="none" w:sz="0" w:space="0" w:color="auto"/>
      </w:divBdr>
    </w:div>
    <w:div w:id="266234320">
      <w:bodyDiv w:val="1"/>
      <w:marLeft w:val="0"/>
      <w:marRight w:val="0"/>
      <w:marTop w:val="0"/>
      <w:marBottom w:val="0"/>
      <w:divBdr>
        <w:top w:val="none" w:sz="0" w:space="0" w:color="auto"/>
        <w:left w:val="none" w:sz="0" w:space="0" w:color="auto"/>
        <w:bottom w:val="none" w:sz="0" w:space="0" w:color="auto"/>
        <w:right w:val="none" w:sz="0" w:space="0" w:color="auto"/>
      </w:divBdr>
    </w:div>
    <w:div w:id="326176925">
      <w:bodyDiv w:val="1"/>
      <w:marLeft w:val="0"/>
      <w:marRight w:val="0"/>
      <w:marTop w:val="0"/>
      <w:marBottom w:val="0"/>
      <w:divBdr>
        <w:top w:val="none" w:sz="0" w:space="0" w:color="auto"/>
        <w:left w:val="none" w:sz="0" w:space="0" w:color="auto"/>
        <w:bottom w:val="none" w:sz="0" w:space="0" w:color="auto"/>
        <w:right w:val="none" w:sz="0" w:space="0" w:color="auto"/>
      </w:divBdr>
    </w:div>
    <w:div w:id="345594109">
      <w:bodyDiv w:val="1"/>
      <w:marLeft w:val="0"/>
      <w:marRight w:val="0"/>
      <w:marTop w:val="0"/>
      <w:marBottom w:val="0"/>
      <w:divBdr>
        <w:top w:val="none" w:sz="0" w:space="0" w:color="auto"/>
        <w:left w:val="none" w:sz="0" w:space="0" w:color="auto"/>
        <w:bottom w:val="none" w:sz="0" w:space="0" w:color="auto"/>
        <w:right w:val="none" w:sz="0" w:space="0" w:color="auto"/>
      </w:divBdr>
    </w:div>
    <w:div w:id="347289761">
      <w:bodyDiv w:val="1"/>
      <w:marLeft w:val="0"/>
      <w:marRight w:val="0"/>
      <w:marTop w:val="0"/>
      <w:marBottom w:val="0"/>
      <w:divBdr>
        <w:top w:val="none" w:sz="0" w:space="0" w:color="auto"/>
        <w:left w:val="none" w:sz="0" w:space="0" w:color="auto"/>
        <w:bottom w:val="none" w:sz="0" w:space="0" w:color="auto"/>
        <w:right w:val="none" w:sz="0" w:space="0" w:color="auto"/>
      </w:divBdr>
    </w:div>
    <w:div w:id="361904624">
      <w:bodyDiv w:val="1"/>
      <w:marLeft w:val="0"/>
      <w:marRight w:val="0"/>
      <w:marTop w:val="0"/>
      <w:marBottom w:val="0"/>
      <w:divBdr>
        <w:top w:val="none" w:sz="0" w:space="0" w:color="auto"/>
        <w:left w:val="none" w:sz="0" w:space="0" w:color="auto"/>
        <w:bottom w:val="none" w:sz="0" w:space="0" w:color="auto"/>
        <w:right w:val="none" w:sz="0" w:space="0" w:color="auto"/>
      </w:divBdr>
    </w:div>
    <w:div w:id="373121901">
      <w:bodyDiv w:val="1"/>
      <w:marLeft w:val="0"/>
      <w:marRight w:val="0"/>
      <w:marTop w:val="0"/>
      <w:marBottom w:val="0"/>
      <w:divBdr>
        <w:top w:val="none" w:sz="0" w:space="0" w:color="auto"/>
        <w:left w:val="none" w:sz="0" w:space="0" w:color="auto"/>
        <w:bottom w:val="none" w:sz="0" w:space="0" w:color="auto"/>
        <w:right w:val="none" w:sz="0" w:space="0" w:color="auto"/>
      </w:divBdr>
    </w:div>
    <w:div w:id="409811003">
      <w:bodyDiv w:val="1"/>
      <w:marLeft w:val="0"/>
      <w:marRight w:val="0"/>
      <w:marTop w:val="0"/>
      <w:marBottom w:val="0"/>
      <w:divBdr>
        <w:top w:val="none" w:sz="0" w:space="0" w:color="auto"/>
        <w:left w:val="none" w:sz="0" w:space="0" w:color="auto"/>
        <w:bottom w:val="none" w:sz="0" w:space="0" w:color="auto"/>
        <w:right w:val="none" w:sz="0" w:space="0" w:color="auto"/>
      </w:divBdr>
    </w:div>
    <w:div w:id="456030594">
      <w:bodyDiv w:val="1"/>
      <w:marLeft w:val="0"/>
      <w:marRight w:val="0"/>
      <w:marTop w:val="0"/>
      <w:marBottom w:val="0"/>
      <w:divBdr>
        <w:top w:val="none" w:sz="0" w:space="0" w:color="auto"/>
        <w:left w:val="none" w:sz="0" w:space="0" w:color="auto"/>
        <w:bottom w:val="none" w:sz="0" w:space="0" w:color="auto"/>
        <w:right w:val="none" w:sz="0" w:space="0" w:color="auto"/>
      </w:divBdr>
    </w:div>
    <w:div w:id="462701643">
      <w:bodyDiv w:val="1"/>
      <w:marLeft w:val="0"/>
      <w:marRight w:val="0"/>
      <w:marTop w:val="0"/>
      <w:marBottom w:val="0"/>
      <w:divBdr>
        <w:top w:val="none" w:sz="0" w:space="0" w:color="auto"/>
        <w:left w:val="none" w:sz="0" w:space="0" w:color="auto"/>
        <w:bottom w:val="none" w:sz="0" w:space="0" w:color="auto"/>
        <w:right w:val="none" w:sz="0" w:space="0" w:color="auto"/>
      </w:divBdr>
    </w:div>
    <w:div w:id="463232350">
      <w:bodyDiv w:val="1"/>
      <w:marLeft w:val="0"/>
      <w:marRight w:val="0"/>
      <w:marTop w:val="0"/>
      <w:marBottom w:val="0"/>
      <w:divBdr>
        <w:top w:val="none" w:sz="0" w:space="0" w:color="auto"/>
        <w:left w:val="none" w:sz="0" w:space="0" w:color="auto"/>
        <w:bottom w:val="none" w:sz="0" w:space="0" w:color="auto"/>
        <w:right w:val="none" w:sz="0" w:space="0" w:color="auto"/>
      </w:divBdr>
    </w:div>
    <w:div w:id="488668881">
      <w:bodyDiv w:val="1"/>
      <w:marLeft w:val="0"/>
      <w:marRight w:val="0"/>
      <w:marTop w:val="0"/>
      <w:marBottom w:val="0"/>
      <w:divBdr>
        <w:top w:val="none" w:sz="0" w:space="0" w:color="auto"/>
        <w:left w:val="none" w:sz="0" w:space="0" w:color="auto"/>
        <w:bottom w:val="none" w:sz="0" w:space="0" w:color="auto"/>
        <w:right w:val="none" w:sz="0" w:space="0" w:color="auto"/>
      </w:divBdr>
    </w:div>
    <w:div w:id="498932193">
      <w:bodyDiv w:val="1"/>
      <w:marLeft w:val="0"/>
      <w:marRight w:val="0"/>
      <w:marTop w:val="0"/>
      <w:marBottom w:val="0"/>
      <w:divBdr>
        <w:top w:val="none" w:sz="0" w:space="0" w:color="auto"/>
        <w:left w:val="none" w:sz="0" w:space="0" w:color="auto"/>
        <w:bottom w:val="none" w:sz="0" w:space="0" w:color="auto"/>
        <w:right w:val="none" w:sz="0" w:space="0" w:color="auto"/>
      </w:divBdr>
    </w:div>
    <w:div w:id="541132816">
      <w:bodyDiv w:val="1"/>
      <w:marLeft w:val="0"/>
      <w:marRight w:val="0"/>
      <w:marTop w:val="0"/>
      <w:marBottom w:val="0"/>
      <w:divBdr>
        <w:top w:val="none" w:sz="0" w:space="0" w:color="auto"/>
        <w:left w:val="none" w:sz="0" w:space="0" w:color="auto"/>
        <w:bottom w:val="none" w:sz="0" w:space="0" w:color="auto"/>
        <w:right w:val="none" w:sz="0" w:space="0" w:color="auto"/>
      </w:divBdr>
    </w:div>
    <w:div w:id="545291613">
      <w:bodyDiv w:val="1"/>
      <w:marLeft w:val="0"/>
      <w:marRight w:val="0"/>
      <w:marTop w:val="0"/>
      <w:marBottom w:val="0"/>
      <w:divBdr>
        <w:top w:val="none" w:sz="0" w:space="0" w:color="auto"/>
        <w:left w:val="none" w:sz="0" w:space="0" w:color="auto"/>
        <w:bottom w:val="none" w:sz="0" w:space="0" w:color="auto"/>
        <w:right w:val="none" w:sz="0" w:space="0" w:color="auto"/>
      </w:divBdr>
    </w:div>
    <w:div w:id="549072478">
      <w:bodyDiv w:val="1"/>
      <w:marLeft w:val="0"/>
      <w:marRight w:val="0"/>
      <w:marTop w:val="0"/>
      <w:marBottom w:val="0"/>
      <w:divBdr>
        <w:top w:val="none" w:sz="0" w:space="0" w:color="auto"/>
        <w:left w:val="none" w:sz="0" w:space="0" w:color="auto"/>
        <w:bottom w:val="none" w:sz="0" w:space="0" w:color="auto"/>
        <w:right w:val="none" w:sz="0" w:space="0" w:color="auto"/>
      </w:divBdr>
    </w:div>
    <w:div w:id="551160443">
      <w:bodyDiv w:val="1"/>
      <w:marLeft w:val="0"/>
      <w:marRight w:val="0"/>
      <w:marTop w:val="0"/>
      <w:marBottom w:val="0"/>
      <w:divBdr>
        <w:top w:val="none" w:sz="0" w:space="0" w:color="auto"/>
        <w:left w:val="none" w:sz="0" w:space="0" w:color="auto"/>
        <w:bottom w:val="none" w:sz="0" w:space="0" w:color="auto"/>
        <w:right w:val="none" w:sz="0" w:space="0" w:color="auto"/>
      </w:divBdr>
    </w:div>
    <w:div w:id="573125097">
      <w:bodyDiv w:val="1"/>
      <w:marLeft w:val="0"/>
      <w:marRight w:val="0"/>
      <w:marTop w:val="0"/>
      <w:marBottom w:val="0"/>
      <w:divBdr>
        <w:top w:val="none" w:sz="0" w:space="0" w:color="auto"/>
        <w:left w:val="none" w:sz="0" w:space="0" w:color="auto"/>
        <w:bottom w:val="none" w:sz="0" w:space="0" w:color="auto"/>
        <w:right w:val="none" w:sz="0" w:space="0" w:color="auto"/>
      </w:divBdr>
    </w:div>
    <w:div w:id="584800825">
      <w:bodyDiv w:val="1"/>
      <w:marLeft w:val="0"/>
      <w:marRight w:val="0"/>
      <w:marTop w:val="0"/>
      <w:marBottom w:val="0"/>
      <w:divBdr>
        <w:top w:val="none" w:sz="0" w:space="0" w:color="auto"/>
        <w:left w:val="none" w:sz="0" w:space="0" w:color="auto"/>
        <w:bottom w:val="none" w:sz="0" w:space="0" w:color="auto"/>
        <w:right w:val="none" w:sz="0" w:space="0" w:color="auto"/>
      </w:divBdr>
    </w:div>
    <w:div w:id="598175347">
      <w:bodyDiv w:val="1"/>
      <w:marLeft w:val="0"/>
      <w:marRight w:val="0"/>
      <w:marTop w:val="0"/>
      <w:marBottom w:val="0"/>
      <w:divBdr>
        <w:top w:val="none" w:sz="0" w:space="0" w:color="auto"/>
        <w:left w:val="none" w:sz="0" w:space="0" w:color="auto"/>
        <w:bottom w:val="none" w:sz="0" w:space="0" w:color="auto"/>
        <w:right w:val="none" w:sz="0" w:space="0" w:color="auto"/>
      </w:divBdr>
    </w:div>
    <w:div w:id="603004877">
      <w:bodyDiv w:val="1"/>
      <w:marLeft w:val="0"/>
      <w:marRight w:val="0"/>
      <w:marTop w:val="0"/>
      <w:marBottom w:val="0"/>
      <w:divBdr>
        <w:top w:val="none" w:sz="0" w:space="0" w:color="auto"/>
        <w:left w:val="none" w:sz="0" w:space="0" w:color="auto"/>
        <w:bottom w:val="none" w:sz="0" w:space="0" w:color="auto"/>
        <w:right w:val="none" w:sz="0" w:space="0" w:color="auto"/>
      </w:divBdr>
    </w:div>
    <w:div w:id="608126687">
      <w:bodyDiv w:val="1"/>
      <w:marLeft w:val="0"/>
      <w:marRight w:val="0"/>
      <w:marTop w:val="0"/>
      <w:marBottom w:val="0"/>
      <w:divBdr>
        <w:top w:val="none" w:sz="0" w:space="0" w:color="auto"/>
        <w:left w:val="none" w:sz="0" w:space="0" w:color="auto"/>
        <w:bottom w:val="none" w:sz="0" w:space="0" w:color="auto"/>
        <w:right w:val="none" w:sz="0" w:space="0" w:color="auto"/>
      </w:divBdr>
    </w:div>
    <w:div w:id="637689481">
      <w:bodyDiv w:val="1"/>
      <w:marLeft w:val="0"/>
      <w:marRight w:val="0"/>
      <w:marTop w:val="0"/>
      <w:marBottom w:val="0"/>
      <w:divBdr>
        <w:top w:val="none" w:sz="0" w:space="0" w:color="auto"/>
        <w:left w:val="none" w:sz="0" w:space="0" w:color="auto"/>
        <w:bottom w:val="none" w:sz="0" w:space="0" w:color="auto"/>
        <w:right w:val="none" w:sz="0" w:space="0" w:color="auto"/>
      </w:divBdr>
    </w:div>
    <w:div w:id="662439508">
      <w:bodyDiv w:val="1"/>
      <w:marLeft w:val="0"/>
      <w:marRight w:val="0"/>
      <w:marTop w:val="0"/>
      <w:marBottom w:val="0"/>
      <w:divBdr>
        <w:top w:val="none" w:sz="0" w:space="0" w:color="auto"/>
        <w:left w:val="none" w:sz="0" w:space="0" w:color="auto"/>
        <w:bottom w:val="none" w:sz="0" w:space="0" w:color="auto"/>
        <w:right w:val="none" w:sz="0" w:space="0" w:color="auto"/>
      </w:divBdr>
    </w:div>
    <w:div w:id="702874149">
      <w:bodyDiv w:val="1"/>
      <w:marLeft w:val="0"/>
      <w:marRight w:val="0"/>
      <w:marTop w:val="0"/>
      <w:marBottom w:val="0"/>
      <w:divBdr>
        <w:top w:val="none" w:sz="0" w:space="0" w:color="auto"/>
        <w:left w:val="none" w:sz="0" w:space="0" w:color="auto"/>
        <w:bottom w:val="none" w:sz="0" w:space="0" w:color="auto"/>
        <w:right w:val="none" w:sz="0" w:space="0" w:color="auto"/>
      </w:divBdr>
    </w:div>
    <w:div w:id="709497181">
      <w:bodyDiv w:val="1"/>
      <w:marLeft w:val="0"/>
      <w:marRight w:val="0"/>
      <w:marTop w:val="0"/>
      <w:marBottom w:val="0"/>
      <w:divBdr>
        <w:top w:val="none" w:sz="0" w:space="0" w:color="auto"/>
        <w:left w:val="none" w:sz="0" w:space="0" w:color="auto"/>
        <w:bottom w:val="none" w:sz="0" w:space="0" w:color="auto"/>
        <w:right w:val="none" w:sz="0" w:space="0" w:color="auto"/>
      </w:divBdr>
    </w:div>
    <w:div w:id="718240322">
      <w:bodyDiv w:val="1"/>
      <w:marLeft w:val="0"/>
      <w:marRight w:val="0"/>
      <w:marTop w:val="0"/>
      <w:marBottom w:val="0"/>
      <w:divBdr>
        <w:top w:val="none" w:sz="0" w:space="0" w:color="auto"/>
        <w:left w:val="none" w:sz="0" w:space="0" w:color="auto"/>
        <w:bottom w:val="none" w:sz="0" w:space="0" w:color="auto"/>
        <w:right w:val="none" w:sz="0" w:space="0" w:color="auto"/>
      </w:divBdr>
    </w:div>
    <w:div w:id="723024305">
      <w:bodyDiv w:val="1"/>
      <w:marLeft w:val="0"/>
      <w:marRight w:val="0"/>
      <w:marTop w:val="0"/>
      <w:marBottom w:val="0"/>
      <w:divBdr>
        <w:top w:val="none" w:sz="0" w:space="0" w:color="auto"/>
        <w:left w:val="none" w:sz="0" w:space="0" w:color="auto"/>
        <w:bottom w:val="none" w:sz="0" w:space="0" w:color="auto"/>
        <w:right w:val="none" w:sz="0" w:space="0" w:color="auto"/>
      </w:divBdr>
    </w:div>
    <w:div w:id="756750362">
      <w:bodyDiv w:val="1"/>
      <w:marLeft w:val="0"/>
      <w:marRight w:val="0"/>
      <w:marTop w:val="0"/>
      <w:marBottom w:val="0"/>
      <w:divBdr>
        <w:top w:val="none" w:sz="0" w:space="0" w:color="auto"/>
        <w:left w:val="none" w:sz="0" w:space="0" w:color="auto"/>
        <w:bottom w:val="none" w:sz="0" w:space="0" w:color="auto"/>
        <w:right w:val="none" w:sz="0" w:space="0" w:color="auto"/>
      </w:divBdr>
    </w:div>
    <w:div w:id="776485104">
      <w:bodyDiv w:val="1"/>
      <w:marLeft w:val="0"/>
      <w:marRight w:val="0"/>
      <w:marTop w:val="0"/>
      <w:marBottom w:val="0"/>
      <w:divBdr>
        <w:top w:val="none" w:sz="0" w:space="0" w:color="auto"/>
        <w:left w:val="none" w:sz="0" w:space="0" w:color="auto"/>
        <w:bottom w:val="none" w:sz="0" w:space="0" w:color="auto"/>
        <w:right w:val="none" w:sz="0" w:space="0" w:color="auto"/>
      </w:divBdr>
    </w:div>
    <w:div w:id="783815621">
      <w:bodyDiv w:val="1"/>
      <w:marLeft w:val="0"/>
      <w:marRight w:val="0"/>
      <w:marTop w:val="0"/>
      <w:marBottom w:val="0"/>
      <w:divBdr>
        <w:top w:val="none" w:sz="0" w:space="0" w:color="auto"/>
        <w:left w:val="none" w:sz="0" w:space="0" w:color="auto"/>
        <w:bottom w:val="none" w:sz="0" w:space="0" w:color="auto"/>
        <w:right w:val="none" w:sz="0" w:space="0" w:color="auto"/>
      </w:divBdr>
    </w:div>
    <w:div w:id="819154182">
      <w:bodyDiv w:val="1"/>
      <w:marLeft w:val="0"/>
      <w:marRight w:val="0"/>
      <w:marTop w:val="0"/>
      <w:marBottom w:val="0"/>
      <w:divBdr>
        <w:top w:val="none" w:sz="0" w:space="0" w:color="auto"/>
        <w:left w:val="none" w:sz="0" w:space="0" w:color="auto"/>
        <w:bottom w:val="none" w:sz="0" w:space="0" w:color="auto"/>
        <w:right w:val="none" w:sz="0" w:space="0" w:color="auto"/>
      </w:divBdr>
    </w:div>
    <w:div w:id="827743313">
      <w:bodyDiv w:val="1"/>
      <w:marLeft w:val="0"/>
      <w:marRight w:val="0"/>
      <w:marTop w:val="0"/>
      <w:marBottom w:val="0"/>
      <w:divBdr>
        <w:top w:val="none" w:sz="0" w:space="0" w:color="auto"/>
        <w:left w:val="none" w:sz="0" w:space="0" w:color="auto"/>
        <w:bottom w:val="none" w:sz="0" w:space="0" w:color="auto"/>
        <w:right w:val="none" w:sz="0" w:space="0" w:color="auto"/>
      </w:divBdr>
    </w:div>
    <w:div w:id="900217702">
      <w:bodyDiv w:val="1"/>
      <w:marLeft w:val="0"/>
      <w:marRight w:val="0"/>
      <w:marTop w:val="0"/>
      <w:marBottom w:val="0"/>
      <w:divBdr>
        <w:top w:val="none" w:sz="0" w:space="0" w:color="auto"/>
        <w:left w:val="none" w:sz="0" w:space="0" w:color="auto"/>
        <w:bottom w:val="none" w:sz="0" w:space="0" w:color="auto"/>
        <w:right w:val="none" w:sz="0" w:space="0" w:color="auto"/>
      </w:divBdr>
    </w:div>
    <w:div w:id="939333434">
      <w:bodyDiv w:val="1"/>
      <w:marLeft w:val="0"/>
      <w:marRight w:val="0"/>
      <w:marTop w:val="0"/>
      <w:marBottom w:val="0"/>
      <w:divBdr>
        <w:top w:val="none" w:sz="0" w:space="0" w:color="auto"/>
        <w:left w:val="none" w:sz="0" w:space="0" w:color="auto"/>
        <w:bottom w:val="none" w:sz="0" w:space="0" w:color="auto"/>
        <w:right w:val="none" w:sz="0" w:space="0" w:color="auto"/>
      </w:divBdr>
    </w:div>
    <w:div w:id="941034763">
      <w:bodyDiv w:val="1"/>
      <w:marLeft w:val="0"/>
      <w:marRight w:val="0"/>
      <w:marTop w:val="0"/>
      <w:marBottom w:val="0"/>
      <w:divBdr>
        <w:top w:val="none" w:sz="0" w:space="0" w:color="auto"/>
        <w:left w:val="none" w:sz="0" w:space="0" w:color="auto"/>
        <w:bottom w:val="none" w:sz="0" w:space="0" w:color="auto"/>
        <w:right w:val="none" w:sz="0" w:space="0" w:color="auto"/>
      </w:divBdr>
    </w:div>
    <w:div w:id="965741367">
      <w:bodyDiv w:val="1"/>
      <w:marLeft w:val="0"/>
      <w:marRight w:val="0"/>
      <w:marTop w:val="0"/>
      <w:marBottom w:val="0"/>
      <w:divBdr>
        <w:top w:val="none" w:sz="0" w:space="0" w:color="auto"/>
        <w:left w:val="none" w:sz="0" w:space="0" w:color="auto"/>
        <w:bottom w:val="none" w:sz="0" w:space="0" w:color="auto"/>
        <w:right w:val="none" w:sz="0" w:space="0" w:color="auto"/>
      </w:divBdr>
    </w:div>
    <w:div w:id="993988511">
      <w:bodyDiv w:val="1"/>
      <w:marLeft w:val="0"/>
      <w:marRight w:val="0"/>
      <w:marTop w:val="0"/>
      <w:marBottom w:val="0"/>
      <w:divBdr>
        <w:top w:val="none" w:sz="0" w:space="0" w:color="auto"/>
        <w:left w:val="none" w:sz="0" w:space="0" w:color="auto"/>
        <w:bottom w:val="none" w:sz="0" w:space="0" w:color="auto"/>
        <w:right w:val="none" w:sz="0" w:space="0" w:color="auto"/>
      </w:divBdr>
    </w:div>
    <w:div w:id="996542944">
      <w:bodyDiv w:val="1"/>
      <w:marLeft w:val="0"/>
      <w:marRight w:val="0"/>
      <w:marTop w:val="0"/>
      <w:marBottom w:val="0"/>
      <w:divBdr>
        <w:top w:val="none" w:sz="0" w:space="0" w:color="auto"/>
        <w:left w:val="none" w:sz="0" w:space="0" w:color="auto"/>
        <w:bottom w:val="none" w:sz="0" w:space="0" w:color="auto"/>
        <w:right w:val="none" w:sz="0" w:space="0" w:color="auto"/>
      </w:divBdr>
    </w:div>
    <w:div w:id="1016276168">
      <w:bodyDiv w:val="1"/>
      <w:marLeft w:val="0"/>
      <w:marRight w:val="0"/>
      <w:marTop w:val="0"/>
      <w:marBottom w:val="0"/>
      <w:divBdr>
        <w:top w:val="none" w:sz="0" w:space="0" w:color="auto"/>
        <w:left w:val="none" w:sz="0" w:space="0" w:color="auto"/>
        <w:bottom w:val="none" w:sz="0" w:space="0" w:color="auto"/>
        <w:right w:val="none" w:sz="0" w:space="0" w:color="auto"/>
      </w:divBdr>
    </w:div>
    <w:div w:id="1039162466">
      <w:bodyDiv w:val="1"/>
      <w:marLeft w:val="0"/>
      <w:marRight w:val="0"/>
      <w:marTop w:val="0"/>
      <w:marBottom w:val="0"/>
      <w:divBdr>
        <w:top w:val="none" w:sz="0" w:space="0" w:color="auto"/>
        <w:left w:val="none" w:sz="0" w:space="0" w:color="auto"/>
        <w:bottom w:val="none" w:sz="0" w:space="0" w:color="auto"/>
        <w:right w:val="none" w:sz="0" w:space="0" w:color="auto"/>
      </w:divBdr>
    </w:div>
    <w:div w:id="1052537353">
      <w:bodyDiv w:val="1"/>
      <w:marLeft w:val="0"/>
      <w:marRight w:val="0"/>
      <w:marTop w:val="0"/>
      <w:marBottom w:val="0"/>
      <w:divBdr>
        <w:top w:val="none" w:sz="0" w:space="0" w:color="auto"/>
        <w:left w:val="none" w:sz="0" w:space="0" w:color="auto"/>
        <w:bottom w:val="none" w:sz="0" w:space="0" w:color="auto"/>
        <w:right w:val="none" w:sz="0" w:space="0" w:color="auto"/>
      </w:divBdr>
    </w:div>
    <w:div w:id="1108699693">
      <w:bodyDiv w:val="1"/>
      <w:marLeft w:val="0"/>
      <w:marRight w:val="0"/>
      <w:marTop w:val="0"/>
      <w:marBottom w:val="0"/>
      <w:divBdr>
        <w:top w:val="none" w:sz="0" w:space="0" w:color="auto"/>
        <w:left w:val="none" w:sz="0" w:space="0" w:color="auto"/>
        <w:bottom w:val="none" w:sz="0" w:space="0" w:color="auto"/>
        <w:right w:val="none" w:sz="0" w:space="0" w:color="auto"/>
      </w:divBdr>
    </w:div>
    <w:div w:id="1136216079">
      <w:bodyDiv w:val="1"/>
      <w:marLeft w:val="0"/>
      <w:marRight w:val="0"/>
      <w:marTop w:val="0"/>
      <w:marBottom w:val="0"/>
      <w:divBdr>
        <w:top w:val="none" w:sz="0" w:space="0" w:color="auto"/>
        <w:left w:val="none" w:sz="0" w:space="0" w:color="auto"/>
        <w:bottom w:val="none" w:sz="0" w:space="0" w:color="auto"/>
        <w:right w:val="none" w:sz="0" w:space="0" w:color="auto"/>
      </w:divBdr>
    </w:div>
    <w:div w:id="1142386416">
      <w:bodyDiv w:val="1"/>
      <w:marLeft w:val="0"/>
      <w:marRight w:val="0"/>
      <w:marTop w:val="0"/>
      <w:marBottom w:val="0"/>
      <w:divBdr>
        <w:top w:val="none" w:sz="0" w:space="0" w:color="auto"/>
        <w:left w:val="none" w:sz="0" w:space="0" w:color="auto"/>
        <w:bottom w:val="none" w:sz="0" w:space="0" w:color="auto"/>
        <w:right w:val="none" w:sz="0" w:space="0" w:color="auto"/>
      </w:divBdr>
    </w:div>
    <w:div w:id="1146118842">
      <w:bodyDiv w:val="1"/>
      <w:marLeft w:val="0"/>
      <w:marRight w:val="0"/>
      <w:marTop w:val="0"/>
      <w:marBottom w:val="0"/>
      <w:divBdr>
        <w:top w:val="none" w:sz="0" w:space="0" w:color="auto"/>
        <w:left w:val="none" w:sz="0" w:space="0" w:color="auto"/>
        <w:bottom w:val="none" w:sz="0" w:space="0" w:color="auto"/>
        <w:right w:val="none" w:sz="0" w:space="0" w:color="auto"/>
      </w:divBdr>
    </w:div>
    <w:div w:id="1148395379">
      <w:bodyDiv w:val="1"/>
      <w:marLeft w:val="0"/>
      <w:marRight w:val="0"/>
      <w:marTop w:val="0"/>
      <w:marBottom w:val="0"/>
      <w:divBdr>
        <w:top w:val="none" w:sz="0" w:space="0" w:color="auto"/>
        <w:left w:val="none" w:sz="0" w:space="0" w:color="auto"/>
        <w:bottom w:val="none" w:sz="0" w:space="0" w:color="auto"/>
        <w:right w:val="none" w:sz="0" w:space="0" w:color="auto"/>
      </w:divBdr>
    </w:div>
    <w:div w:id="1159273464">
      <w:bodyDiv w:val="1"/>
      <w:marLeft w:val="0"/>
      <w:marRight w:val="0"/>
      <w:marTop w:val="0"/>
      <w:marBottom w:val="0"/>
      <w:divBdr>
        <w:top w:val="none" w:sz="0" w:space="0" w:color="auto"/>
        <w:left w:val="none" w:sz="0" w:space="0" w:color="auto"/>
        <w:bottom w:val="none" w:sz="0" w:space="0" w:color="auto"/>
        <w:right w:val="none" w:sz="0" w:space="0" w:color="auto"/>
      </w:divBdr>
    </w:div>
    <w:div w:id="1189368000">
      <w:bodyDiv w:val="1"/>
      <w:marLeft w:val="0"/>
      <w:marRight w:val="0"/>
      <w:marTop w:val="0"/>
      <w:marBottom w:val="0"/>
      <w:divBdr>
        <w:top w:val="none" w:sz="0" w:space="0" w:color="auto"/>
        <w:left w:val="none" w:sz="0" w:space="0" w:color="auto"/>
        <w:bottom w:val="none" w:sz="0" w:space="0" w:color="auto"/>
        <w:right w:val="none" w:sz="0" w:space="0" w:color="auto"/>
      </w:divBdr>
    </w:div>
    <w:div w:id="1269657983">
      <w:bodyDiv w:val="1"/>
      <w:marLeft w:val="0"/>
      <w:marRight w:val="0"/>
      <w:marTop w:val="0"/>
      <w:marBottom w:val="0"/>
      <w:divBdr>
        <w:top w:val="none" w:sz="0" w:space="0" w:color="auto"/>
        <w:left w:val="none" w:sz="0" w:space="0" w:color="auto"/>
        <w:bottom w:val="none" w:sz="0" w:space="0" w:color="auto"/>
        <w:right w:val="none" w:sz="0" w:space="0" w:color="auto"/>
      </w:divBdr>
    </w:div>
    <w:div w:id="1282147441">
      <w:bodyDiv w:val="1"/>
      <w:marLeft w:val="0"/>
      <w:marRight w:val="0"/>
      <w:marTop w:val="0"/>
      <w:marBottom w:val="0"/>
      <w:divBdr>
        <w:top w:val="none" w:sz="0" w:space="0" w:color="auto"/>
        <w:left w:val="none" w:sz="0" w:space="0" w:color="auto"/>
        <w:bottom w:val="none" w:sz="0" w:space="0" w:color="auto"/>
        <w:right w:val="none" w:sz="0" w:space="0" w:color="auto"/>
      </w:divBdr>
    </w:div>
    <w:div w:id="1295018779">
      <w:bodyDiv w:val="1"/>
      <w:marLeft w:val="0"/>
      <w:marRight w:val="0"/>
      <w:marTop w:val="0"/>
      <w:marBottom w:val="0"/>
      <w:divBdr>
        <w:top w:val="none" w:sz="0" w:space="0" w:color="auto"/>
        <w:left w:val="none" w:sz="0" w:space="0" w:color="auto"/>
        <w:bottom w:val="none" w:sz="0" w:space="0" w:color="auto"/>
        <w:right w:val="none" w:sz="0" w:space="0" w:color="auto"/>
      </w:divBdr>
    </w:div>
    <w:div w:id="1307934429">
      <w:bodyDiv w:val="1"/>
      <w:marLeft w:val="0"/>
      <w:marRight w:val="0"/>
      <w:marTop w:val="0"/>
      <w:marBottom w:val="0"/>
      <w:divBdr>
        <w:top w:val="none" w:sz="0" w:space="0" w:color="auto"/>
        <w:left w:val="none" w:sz="0" w:space="0" w:color="auto"/>
        <w:bottom w:val="none" w:sz="0" w:space="0" w:color="auto"/>
        <w:right w:val="none" w:sz="0" w:space="0" w:color="auto"/>
      </w:divBdr>
    </w:div>
    <w:div w:id="1312444098">
      <w:bodyDiv w:val="1"/>
      <w:marLeft w:val="0"/>
      <w:marRight w:val="0"/>
      <w:marTop w:val="0"/>
      <w:marBottom w:val="0"/>
      <w:divBdr>
        <w:top w:val="none" w:sz="0" w:space="0" w:color="auto"/>
        <w:left w:val="none" w:sz="0" w:space="0" w:color="auto"/>
        <w:bottom w:val="none" w:sz="0" w:space="0" w:color="auto"/>
        <w:right w:val="none" w:sz="0" w:space="0" w:color="auto"/>
      </w:divBdr>
    </w:div>
    <w:div w:id="1334144899">
      <w:bodyDiv w:val="1"/>
      <w:marLeft w:val="0"/>
      <w:marRight w:val="0"/>
      <w:marTop w:val="0"/>
      <w:marBottom w:val="0"/>
      <w:divBdr>
        <w:top w:val="none" w:sz="0" w:space="0" w:color="auto"/>
        <w:left w:val="none" w:sz="0" w:space="0" w:color="auto"/>
        <w:bottom w:val="none" w:sz="0" w:space="0" w:color="auto"/>
        <w:right w:val="none" w:sz="0" w:space="0" w:color="auto"/>
      </w:divBdr>
    </w:div>
    <w:div w:id="1339190418">
      <w:bodyDiv w:val="1"/>
      <w:marLeft w:val="0"/>
      <w:marRight w:val="0"/>
      <w:marTop w:val="0"/>
      <w:marBottom w:val="0"/>
      <w:divBdr>
        <w:top w:val="none" w:sz="0" w:space="0" w:color="auto"/>
        <w:left w:val="none" w:sz="0" w:space="0" w:color="auto"/>
        <w:bottom w:val="none" w:sz="0" w:space="0" w:color="auto"/>
        <w:right w:val="none" w:sz="0" w:space="0" w:color="auto"/>
      </w:divBdr>
    </w:div>
    <w:div w:id="1346975674">
      <w:bodyDiv w:val="1"/>
      <w:marLeft w:val="0"/>
      <w:marRight w:val="0"/>
      <w:marTop w:val="0"/>
      <w:marBottom w:val="0"/>
      <w:divBdr>
        <w:top w:val="none" w:sz="0" w:space="0" w:color="auto"/>
        <w:left w:val="none" w:sz="0" w:space="0" w:color="auto"/>
        <w:bottom w:val="none" w:sz="0" w:space="0" w:color="auto"/>
        <w:right w:val="none" w:sz="0" w:space="0" w:color="auto"/>
      </w:divBdr>
    </w:div>
    <w:div w:id="1363900982">
      <w:bodyDiv w:val="1"/>
      <w:marLeft w:val="0"/>
      <w:marRight w:val="0"/>
      <w:marTop w:val="0"/>
      <w:marBottom w:val="0"/>
      <w:divBdr>
        <w:top w:val="none" w:sz="0" w:space="0" w:color="auto"/>
        <w:left w:val="none" w:sz="0" w:space="0" w:color="auto"/>
        <w:bottom w:val="none" w:sz="0" w:space="0" w:color="auto"/>
        <w:right w:val="none" w:sz="0" w:space="0" w:color="auto"/>
      </w:divBdr>
    </w:div>
    <w:div w:id="1386759596">
      <w:bodyDiv w:val="1"/>
      <w:marLeft w:val="0"/>
      <w:marRight w:val="0"/>
      <w:marTop w:val="0"/>
      <w:marBottom w:val="0"/>
      <w:divBdr>
        <w:top w:val="none" w:sz="0" w:space="0" w:color="auto"/>
        <w:left w:val="none" w:sz="0" w:space="0" w:color="auto"/>
        <w:bottom w:val="none" w:sz="0" w:space="0" w:color="auto"/>
        <w:right w:val="none" w:sz="0" w:space="0" w:color="auto"/>
      </w:divBdr>
    </w:div>
    <w:div w:id="1440292642">
      <w:bodyDiv w:val="1"/>
      <w:marLeft w:val="0"/>
      <w:marRight w:val="0"/>
      <w:marTop w:val="0"/>
      <w:marBottom w:val="0"/>
      <w:divBdr>
        <w:top w:val="none" w:sz="0" w:space="0" w:color="auto"/>
        <w:left w:val="none" w:sz="0" w:space="0" w:color="auto"/>
        <w:bottom w:val="none" w:sz="0" w:space="0" w:color="auto"/>
        <w:right w:val="none" w:sz="0" w:space="0" w:color="auto"/>
      </w:divBdr>
    </w:div>
    <w:div w:id="1524174859">
      <w:bodyDiv w:val="1"/>
      <w:marLeft w:val="0"/>
      <w:marRight w:val="0"/>
      <w:marTop w:val="0"/>
      <w:marBottom w:val="0"/>
      <w:divBdr>
        <w:top w:val="none" w:sz="0" w:space="0" w:color="auto"/>
        <w:left w:val="none" w:sz="0" w:space="0" w:color="auto"/>
        <w:bottom w:val="none" w:sz="0" w:space="0" w:color="auto"/>
        <w:right w:val="none" w:sz="0" w:space="0" w:color="auto"/>
      </w:divBdr>
    </w:div>
    <w:div w:id="1531265439">
      <w:bodyDiv w:val="1"/>
      <w:marLeft w:val="0"/>
      <w:marRight w:val="0"/>
      <w:marTop w:val="0"/>
      <w:marBottom w:val="0"/>
      <w:divBdr>
        <w:top w:val="none" w:sz="0" w:space="0" w:color="auto"/>
        <w:left w:val="none" w:sz="0" w:space="0" w:color="auto"/>
        <w:bottom w:val="none" w:sz="0" w:space="0" w:color="auto"/>
        <w:right w:val="none" w:sz="0" w:space="0" w:color="auto"/>
      </w:divBdr>
    </w:div>
    <w:div w:id="1573077734">
      <w:bodyDiv w:val="1"/>
      <w:marLeft w:val="0"/>
      <w:marRight w:val="0"/>
      <w:marTop w:val="0"/>
      <w:marBottom w:val="0"/>
      <w:divBdr>
        <w:top w:val="none" w:sz="0" w:space="0" w:color="auto"/>
        <w:left w:val="none" w:sz="0" w:space="0" w:color="auto"/>
        <w:bottom w:val="none" w:sz="0" w:space="0" w:color="auto"/>
        <w:right w:val="none" w:sz="0" w:space="0" w:color="auto"/>
      </w:divBdr>
    </w:div>
    <w:div w:id="1583678199">
      <w:bodyDiv w:val="1"/>
      <w:marLeft w:val="0"/>
      <w:marRight w:val="0"/>
      <w:marTop w:val="0"/>
      <w:marBottom w:val="0"/>
      <w:divBdr>
        <w:top w:val="none" w:sz="0" w:space="0" w:color="auto"/>
        <w:left w:val="none" w:sz="0" w:space="0" w:color="auto"/>
        <w:bottom w:val="none" w:sz="0" w:space="0" w:color="auto"/>
        <w:right w:val="none" w:sz="0" w:space="0" w:color="auto"/>
      </w:divBdr>
    </w:div>
    <w:div w:id="1585844263">
      <w:bodyDiv w:val="1"/>
      <w:marLeft w:val="0"/>
      <w:marRight w:val="0"/>
      <w:marTop w:val="0"/>
      <w:marBottom w:val="0"/>
      <w:divBdr>
        <w:top w:val="none" w:sz="0" w:space="0" w:color="auto"/>
        <w:left w:val="none" w:sz="0" w:space="0" w:color="auto"/>
        <w:bottom w:val="none" w:sz="0" w:space="0" w:color="auto"/>
        <w:right w:val="none" w:sz="0" w:space="0" w:color="auto"/>
      </w:divBdr>
    </w:div>
    <w:div w:id="1626034357">
      <w:bodyDiv w:val="1"/>
      <w:marLeft w:val="0"/>
      <w:marRight w:val="0"/>
      <w:marTop w:val="0"/>
      <w:marBottom w:val="0"/>
      <w:divBdr>
        <w:top w:val="none" w:sz="0" w:space="0" w:color="auto"/>
        <w:left w:val="none" w:sz="0" w:space="0" w:color="auto"/>
        <w:bottom w:val="none" w:sz="0" w:space="0" w:color="auto"/>
        <w:right w:val="none" w:sz="0" w:space="0" w:color="auto"/>
      </w:divBdr>
    </w:div>
    <w:div w:id="1695032537">
      <w:bodyDiv w:val="1"/>
      <w:marLeft w:val="0"/>
      <w:marRight w:val="0"/>
      <w:marTop w:val="0"/>
      <w:marBottom w:val="0"/>
      <w:divBdr>
        <w:top w:val="none" w:sz="0" w:space="0" w:color="auto"/>
        <w:left w:val="none" w:sz="0" w:space="0" w:color="auto"/>
        <w:bottom w:val="none" w:sz="0" w:space="0" w:color="auto"/>
        <w:right w:val="none" w:sz="0" w:space="0" w:color="auto"/>
      </w:divBdr>
    </w:div>
    <w:div w:id="1712535948">
      <w:bodyDiv w:val="1"/>
      <w:marLeft w:val="0"/>
      <w:marRight w:val="0"/>
      <w:marTop w:val="0"/>
      <w:marBottom w:val="0"/>
      <w:divBdr>
        <w:top w:val="none" w:sz="0" w:space="0" w:color="auto"/>
        <w:left w:val="none" w:sz="0" w:space="0" w:color="auto"/>
        <w:bottom w:val="none" w:sz="0" w:space="0" w:color="auto"/>
        <w:right w:val="none" w:sz="0" w:space="0" w:color="auto"/>
      </w:divBdr>
    </w:div>
    <w:div w:id="1717704746">
      <w:bodyDiv w:val="1"/>
      <w:marLeft w:val="0"/>
      <w:marRight w:val="0"/>
      <w:marTop w:val="0"/>
      <w:marBottom w:val="0"/>
      <w:divBdr>
        <w:top w:val="none" w:sz="0" w:space="0" w:color="auto"/>
        <w:left w:val="none" w:sz="0" w:space="0" w:color="auto"/>
        <w:bottom w:val="none" w:sz="0" w:space="0" w:color="auto"/>
        <w:right w:val="none" w:sz="0" w:space="0" w:color="auto"/>
      </w:divBdr>
    </w:div>
    <w:div w:id="1740012548">
      <w:bodyDiv w:val="1"/>
      <w:marLeft w:val="0"/>
      <w:marRight w:val="0"/>
      <w:marTop w:val="0"/>
      <w:marBottom w:val="0"/>
      <w:divBdr>
        <w:top w:val="none" w:sz="0" w:space="0" w:color="auto"/>
        <w:left w:val="none" w:sz="0" w:space="0" w:color="auto"/>
        <w:bottom w:val="none" w:sz="0" w:space="0" w:color="auto"/>
        <w:right w:val="none" w:sz="0" w:space="0" w:color="auto"/>
      </w:divBdr>
    </w:div>
    <w:div w:id="1741294595">
      <w:bodyDiv w:val="1"/>
      <w:marLeft w:val="0"/>
      <w:marRight w:val="0"/>
      <w:marTop w:val="0"/>
      <w:marBottom w:val="0"/>
      <w:divBdr>
        <w:top w:val="none" w:sz="0" w:space="0" w:color="auto"/>
        <w:left w:val="none" w:sz="0" w:space="0" w:color="auto"/>
        <w:bottom w:val="none" w:sz="0" w:space="0" w:color="auto"/>
        <w:right w:val="none" w:sz="0" w:space="0" w:color="auto"/>
      </w:divBdr>
    </w:div>
    <w:div w:id="1758096691">
      <w:bodyDiv w:val="1"/>
      <w:marLeft w:val="0"/>
      <w:marRight w:val="0"/>
      <w:marTop w:val="0"/>
      <w:marBottom w:val="0"/>
      <w:divBdr>
        <w:top w:val="none" w:sz="0" w:space="0" w:color="auto"/>
        <w:left w:val="none" w:sz="0" w:space="0" w:color="auto"/>
        <w:bottom w:val="none" w:sz="0" w:space="0" w:color="auto"/>
        <w:right w:val="none" w:sz="0" w:space="0" w:color="auto"/>
      </w:divBdr>
    </w:div>
    <w:div w:id="1760373890">
      <w:bodyDiv w:val="1"/>
      <w:marLeft w:val="0"/>
      <w:marRight w:val="0"/>
      <w:marTop w:val="0"/>
      <w:marBottom w:val="0"/>
      <w:divBdr>
        <w:top w:val="none" w:sz="0" w:space="0" w:color="auto"/>
        <w:left w:val="none" w:sz="0" w:space="0" w:color="auto"/>
        <w:bottom w:val="none" w:sz="0" w:space="0" w:color="auto"/>
        <w:right w:val="none" w:sz="0" w:space="0" w:color="auto"/>
      </w:divBdr>
    </w:div>
    <w:div w:id="1820881551">
      <w:bodyDiv w:val="1"/>
      <w:marLeft w:val="0"/>
      <w:marRight w:val="0"/>
      <w:marTop w:val="0"/>
      <w:marBottom w:val="0"/>
      <w:divBdr>
        <w:top w:val="none" w:sz="0" w:space="0" w:color="auto"/>
        <w:left w:val="none" w:sz="0" w:space="0" w:color="auto"/>
        <w:bottom w:val="none" w:sz="0" w:space="0" w:color="auto"/>
        <w:right w:val="none" w:sz="0" w:space="0" w:color="auto"/>
      </w:divBdr>
    </w:div>
    <w:div w:id="1839811390">
      <w:bodyDiv w:val="1"/>
      <w:marLeft w:val="0"/>
      <w:marRight w:val="0"/>
      <w:marTop w:val="0"/>
      <w:marBottom w:val="0"/>
      <w:divBdr>
        <w:top w:val="none" w:sz="0" w:space="0" w:color="auto"/>
        <w:left w:val="none" w:sz="0" w:space="0" w:color="auto"/>
        <w:bottom w:val="none" w:sz="0" w:space="0" w:color="auto"/>
        <w:right w:val="none" w:sz="0" w:space="0" w:color="auto"/>
      </w:divBdr>
    </w:div>
    <w:div w:id="1843466876">
      <w:bodyDiv w:val="1"/>
      <w:marLeft w:val="0"/>
      <w:marRight w:val="0"/>
      <w:marTop w:val="0"/>
      <w:marBottom w:val="0"/>
      <w:divBdr>
        <w:top w:val="none" w:sz="0" w:space="0" w:color="auto"/>
        <w:left w:val="none" w:sz="0" w:space="0" w:color="auto"/>
        <w:bottom w:val="none" w:sz="0" w:space="0" w:color="auto"/>
        <w:right w:val="none" w:sz="0" w:space="0" w:color="auto"/>
      </w:divBdr>
    </w:div>
    <w:div w:id="1844736560">
      <w:bodyDiv w:val="1"/>
      <w:marLeft w:val="0"/>
      <w:marRight w:val="0"/>
      <w:marTop w:val="0"/>
      <w:marBottom w:val="0"/>
      <w:divBdr>
        <w:top w:val="none" w:sz="0" w:space="0" w:color="auto"/>
        <w:left w:val="none" w:sz="0" w:space="0" w:color="auto"/>
        <w:bottom w:val="none" w:sz="0" w:space="0" w:color="auto"/>
        <w:right w:val="none" w:sz="0" w:space="0" w:color="auto"/>
      </w:divBdr>
    </w:div>
    <w:div w:id="1854342763">
      <w:bodyDiv w:val="1"/>
      <w:marLeft w:val="0"/>
      <w:marRight w:val="0"/>
      <w:marTop w:val="0"/>
      <w:marBottom w:val="0"/>
      <w:divBdr>
        <w:top w:val="none" w:sz="0" w:space="0" w:color="auto"/>
        <w:left w:val="none" w:sz="0" w:space="0" w:color="auto"/>
        <w:bottom w:val="none" w:sz="0" w:space="0" w:color="auto"/>
        <w:right w:val="none" w:sz="0" w:space="0" w:color="auto"/>
      </w:divBdr>
    </w:div>
    <w:div w:id="1883516660">
      <w:bodyDiv w:val="1"/>
      <w:marLeft w:val="0"/>
      <w:marRight w:val="0"/>
      <w:marTop w:val="0"/>
      <w:marBottom w:val="0"/>
      <w:divBdr>
        <w:top w:val="none" w:sz="0" w:space="0" w:color="auto"/>
        <w:left w:val="none" w:sz="0" w:space="0" w:color="auto"/>
        <w:bottom w:val="none" w:sz="0" w:space="0" w:color="auto"/>
        <w:right w:val="none" w:sz="0" w:space="0" w:color="auto"/>
      </w:divBdr>
    </w:div>
    <w:div w:id="1906529037">
      <w:bodyDiv w:val="1"/>
      <w:marLeft w:val="0"/>
      <w:marRight w:val="0"/>
      <w:marTop w:val="0"/>
      <w:marBottom w:val="0"/>
      <w:divBdr>
        <w:top w:val="none" w:sz="0" w:space="0" w:color="auto"/>
        <w:left w:val="none" w:sz="0" w:space="0" w:color="auto"/>
        <w:bottom w:val="none" w:sz="0" w:space="0" w:color="auto"/>
        <w:right w:val="none" w:sz="0" w:space="0" w:color="auto"/>
      </w:divBdr>
    </w:div>
    <w:div w:id="1909461181">
      <w:bodyDiv w:val="1"/>
      <w:marLeft w:val="0"/>
      <w:marRight w:val="0"/>
      <w:marTop w:val="0"/>
      <w:marBottom w:val="0"/>
      <w:divBdr>
        <w:top w:val="none" w:sz="0" w:space="0" w:color="auto"/>
        <w:left w:val="none" w:sz="0" w:space="0" w:color="auto"/>
        <w:bottom w:val="none" w:sz="0" w:space="0" w:color="auto"/>
        <w:right w:val="none" w:sz="0" w:space="0" w:color="auto"/>
      </w:divBdr>
    </w:div>
    <w:div w:id="1918439238">
      <w:bodyDiv w:val="1"/>
      <w:marLeft w:val="0"/>
      <w:marRight w:val="0"/>
      <w:marTop w:val="0"/>
      <w:marBottom w:val="0"/>
      <w:divBdr>
        <w:top w:val="none" w:sz="0" w:space="0" w:color="auto"/>
        <w:left w:val="none" w:sz="0" w:space="0" w:color="auto"/>
        <w:bottom w:val="none" w:sz="0" w:space="0" w:color="auto"/>
        <w:right w:val="none" w:sz="0" w:space="0" w:color="auto"/>
      </w:divBdr>
    </w:div>
    <w:div w:id="1925721936">
      <w:bodyDiv w:val="1"/>
      <w:marLeft w:val="0"/>
      <w:marRight w:val="0"/>
      <w:marTop w:val="0"/>
      <w:marBottom w:val="0"/>
      <w:divBdr>
        <w:top w:val="none" w:sz="0" w:space="0" w:color="auto"/>
        <w:left w:val="none" w:sz="0" w:space="0" w:color="auto"/>
        <w:bottom w:val="none" w:sz="0" w:space="0" w:color="auto"/>
        <w:right w:val="none" w:sz="0" w:space="0" w:color="auto"/>
      </w:divBdr>
    </w:div>
    <w:div w:id="1940798329">
      <w:bodyDiv w:val="1"/>
      <w:marLeft w:val="0"/>
      <w:marRight w:val="0"/>
      <w:marTop w:val="0"/>
      <w:marBottom w:val="0"/>
      <w:divBdr>
        <w:top w:val="none" w:sz="0" w:space="0" w:color="auto"/>
        <w:left w:val="none" w:sz="0" w:space="0" w:color="auto"/>
        <w:bottom w:val="none" w:sz="0" w:space="0" w:color="auto"/>
        <w:right w:val="none" w:sz="0" w:space="0" w:color="auto"/>
      </w:divBdr>
    </w:div>
    <w:div w:id="1954625915">
      <w:bodyDiv w:val="1"/>
      <w:marLeft w:val="0"/>
      <w:marRight w:val="0"/>
      <w:marTop w:val="0"/>
      <w:marBottom w:val="0"/>
      <w:divBdr>
        <w:top w:val="none" w:sz="0" w:space="0" w:color="auto"/>
        <w:left w:val="none" w:sz="0" w:space="0" w:color="auto"/>
        <w:bottom w:val="none" w:sz="0" w:space="0" w:color="auto"/>
        <w:right w:val="none" w:sz="0" w:space="0" w:color="auto"/>
      </w:divBdr>
    </w:div>
    <w:div w:id="1974018597">
      <w:bodyDiv w:val="1"/>
      <w:marLeft w:val="0"/>
      <w:marRight w:val="0"/>
      <w:marTop w:val="0"/>
      <w:marBottom w:val="0"/>
      <w:divBdr>
        <w:top w:val="none" w:sz="0" w:space="0" w:color="auto"/>
        <w:left w:val="none" w:sz="0" w:space="0" w:color="auto"/>
        <w:bottom w:val="none" w:sz="0" w:space="0" w:color="auto"/>
        <w:right w:val="none" w:sz="0" w:space="0" w:color="auto"/>
      </w:divBdr>
    </w:div>
    <w:div w:id="2024701744">
      <w:bodyDiv w:val="1"/>
      <w:marLeft w:val="0"/>
      <w:marRight w:val="0"/>
      <w:marTop w:val="0"/>
      <w:marBottom w:val="0"/>
      <w:divBdr>
        <w:top w:val="none" w:sz="0" w:space="0" w:color="auto"/>
        <w:left w:val="none" w:sz="0" w:space="0" w:color="auto"/>
        <w:bottom w:val="none" w:sz="0" w:space="0" w:color="auto"/>
        <w:right w:val="none" w:sz="0" w:space="0" w:color="auto"/>
      </w:divBdr>
    </w:div>
    <w:div w:id="2037190647">
      <w:bodyDiv w:val="1"/>
      <w:marLeft w:val="0"/>
      <w:marRight w:val="0"/>
      <w:marTop w:val="0"/>
      <w:marBottom w:val="0"/>
      <w:divBdr>
        <w:top w:val="none" w:sz="0" w:space="0" w:color="auto"/>
        <w:left w:val="none" w:sz="0" w:space="0" w:color="auto"/>
        <w:bottom w:val="none" w:sz="0" w:space="0" w:color="auto"/>
        <w:right w:val="none" w:sz="0" w:space="0" w:color="auto"/>
      </w:divBdr>
    </w:div>
    <w:div w:id="2044281155">
      <w:bodyDiv w:val="1"/>
      <w:marLeft w:val="0"/>
      <w:marRight w:val="0"/>
      <w:marTop w:val="0"/>
      <w:marBottom w:val="0"/>
      <w:divBdr>
        <w:top w:val="none" w:sz="0" w:space="0" w:color="auto"/>
        <w:left w:val="none" w:sz="0" w:space="0" w:color="auto"/>
        <w:bottom w:val="none" w:sz="0" w:space="0" w:color="auto"/>
        <w:right w:val="none" w:sz="0" w:space="0" w:color="auto"/>
      </w:divBdr>
    </w:div>
    <w:div w:id="2062054605">
      <w:bodyDiv w:val="1"/>
      <w:marLeft w:val="0"/>
      <w:marRight w:val="0"/>
      <w:marTop w:val="0"/>
      <w:marBottom w:val="0"/>
      <w:divBdr>
        <w:top w:val="none" w:sz="0" w:space="0" w:color="auto"/>
        <w:left w:val="none" w:sz="0" w:space="0" w:color="auto"/>
        <w:bottom w:val="none" w:sz="0" w:space="0" w:color="auto"/>
        <w:right w:val="none" w:sz="0" w:space="0" w:color="auto"/>
      </w:divBdr>
    </w:div>
    <w:div w:id="2063167138">
      <w:bodyDiv w:val="1"/>
      <w:marLeft w:val="0"/>
      <w:marRight w:val="0"/>
      <w:marTop w:val="0"/>
      <w:marBottom w:val="0"/>
      <w:divBdr>
        <w:top w:val="none" w:sz="0" w:space="0" w:color="auto"/>
        <w:left w:val="none" w:sz="0" w:space="0" w:color="auto"/>
        <w:bottom w:val="none" w:sz="0" w:space="0" w:color="auto"/>
        <w:right w:val="none" w:sz="0" w:space="0" w:color="auto"/>
      </w:divBdr>
    </w:div>
    <w:div w:id="2067482696">
      <w:bodyDiv w:val="1"/>
      <w:marLeft w:val="0"/>
      <w:marRight w:val="0"/>
      <w:marTop w:val="0"/>
      <w:marBottom w:val="0"/>
      <w:divBdr>
        <w:top w:val="none" w:sz="0" w:space="0" w:color="auto"/>
        <w:left w:val="none" w:sz="0" w:space="0" w:color="auto"/>
        <w:bottom w:val="none" w:sz="0" w:space="0" w:color="auto"/>
        <w:right w:val="none" w:sz="0" w:space="0" w:color="auto"/>
      </w:divBdr>
    </w:div>
    <w:div w:id="2073042284">
      <w:bodyDiv w:val="1"/>
      <w:marLeft w:val="0"/>
      <w:marRight w:val="0"/>
      <w:marTop w:val="0"/>
      <w:marBottom w:val="0"/>
      <w:divBdr>
        <w:top w:val="none" w:sz="0" w:space="0" w:color="auto"/>
        <w:left w:val="none" w:sz="0" w:space="0" w:color="auto"/>
        <w:bottom w:val="none" w:sz="0" w:space="0" w:color="auto"/>
        <w:right w:val="none" w:sz="0" w:space="0" w:color="auto"/>
      </w:divBdr>
    </w:div>
    <w:div w:id="2073695600">
      <w:bodyDiv w:val="1"/>
      <w:marLeft w:val="0"/>
      <w:marRight w:val="0"/>
      <w:marTop w:val="0"/>
      <w:marBottom w:val="0"/>
      <w:divBdr>
        <w:top w:val="none" w:sz="0" w:space="0" w:color="auto"/>
        <w:left w:val="none" w:sz="0" w:space="0" w:color="auto"/>
        <w:bottom w:val="none" w:sz="0" w:space="0" w:color="auto"/>
        <w:right w:val="none" w:sz="0" w:space="0" w:color="auto"/>
      </w:divBdr>
    </w:div>
    <w:div w:id="2078235908">
      <w:bodyDiv w:val="1"/>
      <w:marLeft w:val="0"/>
      <w:marRight w:val="0"/>
      <w:marTop w:val="0"/>
      <w:marBottom w:val="0"/>
      <w:divBdr>
        <w:top w:val="none" w:sz="0" w:space="0" w:color="auto"/>
        <w:left w:val="none" w:sz="0" w:space="0" w:color="auto"/>
        <w:bottom w:val="none" w:sz="0" w:space="0" w:color="auto"/>
        <w:right w:val="none" w:sz="0" w:space="0" w:color="auto"/>
      </w:divBdr>
    </w:div>
    <w:div w:id="2087068377">
      <w:bodyDiv w:val="1"/>
      <w:marLeft w:val="0"/>
      <w:marRight w:val="0"/>
      <w:marTop w:val="0"/>
      <w:marBottom w:val="0"/>
      <w:divBdr>
        <w:top w:val="none" w:sz="0" w:space="0" w:color="auto"/>
        <w:left w:val="none" w:sz="0" w:space="0" w:color="auto"/>
        <w:bottom w:val="none" w:sz="0" w:space="0" w:color="auto"/>
        <w:right w:val="none" w:sz="0" w:space="0" w:color="auto"/>
      </w:divBdr>
    </w:div>
    <w:div w:id="2093159602">
      <w:bodyDiv w:val="1"/>
      <w:marLeft w:val="0"/>
      <w:marRight w:val="0"/>
      <w:marTop w:val="0"/>
      <w:marBottom w:val="0"/>
      <w:divBdr>
        <w:top w:val="none" w:sz="0" w:space="0" w:color="auto"/>
        <w:left w:val="none" w:sz="0" w:space="0" w:color="auto"/>
        <w:bottom w:val="none" w:sz="0" w:space="0" w:color="auto"/>
        <w:right w:val="none" w:sz="0" w:space="0" w:color="auto"/>
      </w:divBdr>
    </w:div>
    <w:div w:id="2100712936">
      <w:bodyDiv w:val="1"/>
      <w:marLeft w:val="0"/>
      <w:marRight w:val="0"/>
      <w:marTop w:val="0"/>
      <w:marBottom w:val="0"/>
      <w:divBdr>
        <w:top w:val="none" w:sz="0" w:space="0" w:color="auto"/>
        <w:left w:val="none" w:sz="0" w:space="0" w:color="auto"/>
        <w:bottom w:val="none" w:sz="0" w:space="0" w:color="auto"/>
        <w:right w:val="none" w:sz="0" w:space="0" w:color="auto"/>
      </w:divBdr>
    </w:div>
    <w:div w:id="2137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Important%20Documents\&#25237;&#36830;\&#25237;&#36830;&#36134;&#21153;\&#25237;&#36830;&#36134;&#21153;\&#25237;&#36830;&#25253;&#21578;\2016&#24180;&#25237;&#36830;&#25253;&#21578;&#27719;&#24635;\2016&#24180;&#36134;&#25143;&#20449;&#24687;&#20844;&#21578;&#65288;&#21322;&#24180;&#24230;&#65289;\2016&#24180;&#21322;&#24180;&#24230;&#25237;&#36830;&#20020;&#26102;&#20449;&#24687;&#25259;&#38706;-&#24213;&#312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354516516914097E-2"/>
          <c:y val="8.9059244952871527E-2"/>
          <c:w val="0.74923072520487977"/>
          <c:h val="0.6744937428896477"/>
        </c:manualLayout>
      </c:layout>
      <c:lineChart>
        <c:grouping val="standard"/>
        <c:ser>
          <c:idx val="1"/>
          <c:order val="1"/>
          <c:cat>
            <c:multiLvlStrRef>
              <c:f>'201506保守'!$C$51:$C$55</c:f>
            </c:multiLvlStrRef>
          </c:cat>
          <c:val>
            <c:numRef>
              <c:f>'201506保守'!$D$51:$D$55</c:f>
            </c:numRef>
          </c:val>
        </c:ser>
        <c:ser>
          <c:idx val="2"/>
          <c:order val="2"/>
          <c:cat>
            <c:multiLvlStrRef>
              <c:f>'[2016年半年度国华1号保守型账户信息公告-临时信息披露.xlsx]Sheet1'!$A$4:$A$6</c:f>
            </c:multiLvlStrRef>
          </c:cat>
          <c:val>
            <c:numRef>
              <c:f>'[2016年半年度国华1号保守型账户信息公告-临时信息披露.xlsx]Sheet1'!$B$4:$B$6</c:f>
            </c:numRef>
          </c:val>
        </c:ser>
        <c:ser>
          <c:idx val="3"/>
          <c:order val="3"/>
          <c:cat>
            <c:multiLvlStrRef>
              <c:f>'[2016年半年度国华1号保守型账户信息公告-临时信息披露.xlsx]国华1号保守'!$B$11:$B$13</c:f>
            </c:multiLvlStrRef>
          </c:cat>
          <c:val>
            <c:numRef>
              <c:f>'[2016年半年度国华1号保守型账户信息公告-临时信息披露.xlsx]国华1号保守'!$C$11:$C$13</c:f>
            </c:numRef>
          </c:val>
        </c:ser>
        <c:ser>
          <c:idx val="4"/>
          <c:order val="4"/>
          <c:cat>
            <c:multiLvlStrRef>
              <c:f>'[2016年半年度投连临时信息披露-底稿.xlsx]国华1号保守'!$B$42:$B$44</c:f>
            </c:multiLvlStrRef>
          </c:cat>
          <c:val>
            <c:numRef>
              <c:f>'[2016年半年度投连临时信息披露-底稿.xlsx]国华1号保守'!$C$42:$C$44</c:f>
            </c:numRef>
          </c:val>
        </c:ser>
        <c:ser>
          <c:idx val="0"/>
          <c:order val="0"/>
          <c:cat>
            <c:numRef>
              <c:f>'[2016年半年度投连临时信息披露-底稿.xlsx]国华1号保守'!$B$42:$B$44</c:f>
              <c:numCache>
                <c:formatCode>yyyy/m/d</c:formatCode>
                <c:ptCount val="3"/>
                <c:pt idx="0">
                  <c:v>42373</c:v>
                </c:pt>
                <c:pt idx="1">
                  <c:v>42460</c:v>
                </c:pt>
                <c:pt idx="2">
                  <c:v>42551</c:v>
                </c:pt>
              </c:numCache>
            </c:numRef>
          </c:cat>
          <c:val>
            <c:numRef>
              <c:f>'[2016年半年度投连临时信息披露-底稿.xlsx]国华1号保守'!$C$42:$C$44</c:f>
              <c:numCache>
                <c:formatCode>General</c:formatCode>
                <c:ptCount val="3"/>
                <c:pt idx="0">
                  <c:v>1</c:v>
                </c:pt>
                <c:pt idx="1">
                  <c:v>1.0094778200000001</c:v>
                </c:pt>
                <c:pt idx="2">
                  <c:v>1.0165563200000001</c:v>
                </c:pt>
              </c:numCache>
            </c:numRef>
          </c:val>
        </c:ser>
        <c:marker val="1"/>
        <c:axId val="185115008"/>
        <c:axId val="185116544"/>
      </c:lineChart>
      <c:catAx>
        <c:axId val="185115008"/>
        <c:scaling>
          <c:orientation val="minMax"/>
        </c:scaling>
        <c:axPos val="b"/>
        <c:numFmt formatCode="yyyy/m/d" sourceLinked="1"/>
        <c:tickLblPos val="nextTo"/>
        <c:txPr>
          <a:bodyPr rot="-5400000" vert="horz"/>
          <a:lstStyle/>
          <a:p>
            <a:pPr>
              <a:defRPr baseline="0">
                <a:latin typeface="Times New Roman" pitchFamily="18" charset="0"/>
                <a:cs typeface="Times New Roman" pitchFamily="18" charset="0"/>
              </a:defRPr>
            </a:pPr>
            <a:endParaRPr lang="zh-CN"/>
          </a:p>
        </c:txPr>
        <c:crossAx val="185116544"/>
        <c:crosses val="autoZero"/>
        <c:lblAlgn val="ctr"/>
        <c:lblOffset val="100"/>
      </c:catAx>
      <c:valAx>
        <c:axId val="185116544"/>
        <c:scaling>
          <c:orientation val="minMax"/>
        </c:scaling>
        <c:axPos val="l"/>
        <c:majorGridlines/>
        <c:numFmt formatCode="General" sourceLinked="1"/>
        <c:tickLblPos val="nextTo"/>
        <c:spPr>
          <a:ln>
            <a:noFill/>
          </a:ln>
        </c:spPr>
        <c:txPr>
          <a:bodyPr/>
          <a:lstStyle/>
          <a:p>
            <a:pPr>
              <a:defRPr>
                <a:latin typeface="Times New Roman" pitchFamily="18" charset="0"/>
                <a:cs typeface="Times New Roman" pitchFamily="18" charset="0"/>
              </a:defRPr>
            </a:pPr>
            <a:endParaRPr lang="zh-CN"/>
          </a:p>
        </c:txPr>
        <c:crossAx val="185115008"/>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ECF4C6-190C-42E1-9A9D-A8F07EEC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7</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donghb</dc:creator>
  <cp:keywords/>
  <dc:description/>
  <cp:lastModifiedBy>luzm</cp:lastModifiedBy>
  <cp:revision>241</cp:revision>
  <cp:lastPrinted>2016-09-09T03:24:00Z</cp:lastPrinted>
  <dcterms:created xsi:type="dcterms:W3CDTF">2014-10-07T10:55:00Z</dcterms:created>
  <dcterms:modified xsi:type="dcterms:W3CDTF">2016-09-12T02:14:00Z</dcterms:modified>
</cp:coreProperties>
</file>