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39D" w:rsidRDefault="00B303B3">
      <w:pPr>
        <w:widowControl w:val="0"/>
        <w:spacing w:before="227"/>
        <w:rPr>
          <w:rFonts w:ascii="Times New Roman" w:eastAsia="黑体" w:hAnsi="Times New Roman"/>
          <w:b/>
          <w:kern w:val="2"/>
          <w:sz w:val="32"/>
          <w:szCs w:val="32"/>
          <w:lang w:val="en-US"/>
        </w:rPr>
      </w:pPr>
      <w:r>
        <w:rPr>
          <w:rFonts w:ascii="Times New Roman" w:eastAsia="黑体" w:hAnsi="Times New Roman"/>
          <w:b/>
          <w:noProof/>
          <w:sz w:val="52"/>
          <w:szCs w:val="52"/>
          <w:lang w:val="en-US"/>
        </w:rPr>
        <w:drawing>
          <wp:inline distT="0" distB="0" distL="0" distR="0">
            <wp:extent cx="4699591" cy="680483"/>
            <wp:effectExtent l="0" t="0" r="0" b="0"/>
            <wp:docPr id="4" name="图片 1"/>
            <wp:cNvGraphicFramePr/>
            <a:graphic xmlns:a="http://schemas.openxmlformats.org/drawingml/2006/main">
              <a:graphicData uri="http://schemas.openxmlformats.org/drawingml/2006/picture">
                <pic:pic xmlns:pic="http://schemas.openxmlformats.org/drawingml/2006/picture">
                  <pic:nvPicPr>
                    <pic:cNvPr id="6169038" name="Picture 86"/>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4701525" cy="680763"/>
                    </a:xfrm>
                    <a:prstGeom prst="rect">
                      <a:avLst/>
                    </a:prstGeom>
                    <a:noFill/>
                    <a:ln w="9525">
                      <a:noFill/>
                      <a:miter lim="800000"/>
                      <a:headEnd/>
                      <a:tailEnd/>
                    </a:ln>
                  </pic:spPr>
                </pic:pic>
              </a:graphicData>
            </a:graphic>
          </wp:inline>
        </w:drawing>
      </w:r>
      <w:bookmarkStart w:id="0" w:name="company_ename"/>
      <w:bookmarkEnd w:id="0"/>
    </w:p>
    <w:p w:rsidR="002818C2" w:rsidRDefault="002818C2" w:rsidP="00581096">
      <w:pPr>
        <w:widowControl w:val="0"/>
        <w:spacing w:before="227"/>
        <w:jc w:val="center"/>
        <w:rPr>
          <w:rFonts w:ascii="Times New Roman" w:eastAsia="黑体" w:hAnsi="Times New Roman"/>
          <w:kern w:val="2"/>
          <w:sz w:val="32"/>
          <w:szCs w:val="32"/>
          <w:lang w:val="en-US"/>
        </w:rPr>
      </w:pPr>
    </w:p>
    <w:p w:rsidR="009C62B9" w:rsidRDefault="009C62B9" w:rsidP="00581096">
      <w:pPr>
        <w:widowControl w:val="0"/>
        <w:spacing w:before="227"/>
        <w:jc w:val="center"/>
        <w:rPr>
          <w:rFonts w:ascii="Times New Roman" w:eastAsia="黑体" w:hAnsi="Times New Roman"/>
          <w:kern w:val="2"/>
          <w:sz w:val="32"/>
          <w:szCs w:val="32"/>
          <w:lang w:val="en-US"/>
        </w:rPr>
      </w:pPr>
    </w:p>
    <w:p w:rsidR="002818C2" w:rsidRPr="001F0A72" w:rsidRDefault="00CC5E23" w:rsidP="00581096">
      <w:pPr>
        <w:widowControl w:val="0"/>
        <w:spacing w:before="227" w:line="0" w:lineRule="atLeast"/>
        <w:jc w:val="center"/>
        <w:rPr>
          <w:rFonts w:ascii="Times New Roman" w:eastAsiaTheme="minorEastAsia" w:hAnsi="Times New Roman"/>
          <w:b/>
          <w:kern w:val="2"/>
          <w:sz w:val="44"/>
          <w:szCs w:val="44"/>
          <w:lang w:val="en-US"/>
        </w:rPr>
      </w:pPr>
      <w:r w:rsidRPr="00CC5E23">
        <w:rPr>
          <w:rFonts w:ascii="Times New Roman" w:eastAsiaTheme="minorEastAsia" w:hAnsiTheme="minorEastAsia" w:hint="eastAsia"/>
          <w:b/>
          <w:kern w:val="2"/>
          <w:sz w:val="44"/>
          <w:szCs w:val="44"/>
          <w:lang w:val="en-US"/>
        </w:rPr>
        <w:t>国华人寿保险股份有限公司</w:t>
      </w:r>
    </w:p>
    <w:p w:rsidR="002818C2" w:rsidRPr="001F0A72" w:rsidRDefault="004E4A68" w:rsidP="00581096">
      <w:pPr>
        <w:widowControl w:val="0"/>
        <w:spacing w:before="227" w:line="0" w:lineRule="atLeast"/>
        <w:jc w:val="center"/>
        <w:rPr>
          <w:rFonts w:ascii="Times New Roman" w:eastAsiaTheme="minorEastAsia" w:hAnsi="Times New Roman"/>
          <w:b/>
          <w:kern w:val="2"/>
          <w:sz w:val="44"/>
          <w:szCs w:val="44"/>
          <w:lang w:val="en-US"/>
        </w:rPr>
      </w:pPr>
      <w:r>
        <w:rPr>
          <w:rFonts w:ascii="Times New Roman" w:eastAsiaTheme="minorEastAsia" w:hAnsiTheme="minorEastAsia" w:hint="eastAsia"/>
          <w:b/>
          <w:kern w:val="2"/>
          <w:sz w:val="44"/>
          <w:szCs w:val="44"/>
          <w:lang w:val="en-US"/>
        </w:rPr>
        <w:t>稳健</w:t>
      </w:r>
      <w:r w:rsidR="00CC5E23" w:rsidRPr="00CC5E23">
        <w:rPr>
          <w:rFonts w:ascii="Times New Roman" w:eastAsiaTheme="minorEastAsia" w:hAnsiTheme="minorEastAsia" w:hint="eastAsia"/>
          <w:b/>
          <w:kern w:val="2"/>
          <w:sz w:val="44"/>
          <w:szCs w:val="44"/>
          <w:lang w:val="en-US"/>
        </w:rPr>
        <w:t>型投资连结保险投资账户</w:t>
      </w:r>
    </w:p>
    <w:p w:rsidR="002818C2" w:rsidRPr="001F0A72" w:rsidRDefault="00CC5E23" w:rsidP="00581096">
      <w:pPr>
        <w:widowControl w:val="0"/>
        <w:spacing w:before="227" w:line="0" w:lineRule="atLeast"/>
        <w:jc w:val="center"/>
        <w:rPr>
          <w:rFonts w:ascii="Times New Roman" w:eastAsiaTheme="minorEastAsia" w:hAnsi="Times New Roman"/>
          <w:b/>
          <w:kern w:val="2"/>
          <w:sz w:val="44"/>
          <w:szCs w:val="44"/>
          <w:lang w:val="en-US"/>
        </w:rPr>
      </w:pPr>
      <w:r w:rsidRPr="00CC5E23">
        <w:rPr>
          <w:rFonts w:ascii="Times New Roman" w:eastAsiaTheme="minorEastAsia" w:hAnsi="Times New Roman"/>
          <w:b/>
          <w:kern w:val="2"/>
          <w:sz w:val="44"/>
          <w:szCs w:val="44"/>
          <w:lang w:val="en-US"/>
        </w:rPr>
        <w:t>201</w:t>
      </w:r>
      <w:r w:rsidR="00460E14">
        <w:rPr>
          <w:rFonts w:ascii="Times New Roman" w:eastAsiaTheme="minorEastAsia" w:hAnsi="Times New Roman" w:hint="eastAsia"/>
          <w:b/>
          <w:kern w:val="2"/>
          <w:sz w:val="44"/>
          <w:szCs w:val="44"/>
          <w:lang w:val="en-US"/>
        </w:rPr>
        <w:t>5</w:t>
      </w:r>
      <w:r w:rsidR="007402F1">
        <w:rPr>
          <w:rFonts w:ascii="Times New Roman" w:eastAsiaTheme="minorEastAsia" w:hAnsiTheme="minorEastAsia" w:hint="eastAsia"/>
          <w:b/>
          <w:kern w:val="2"/>
          <w:sz w:val="44"/>
          <w:szCs w:val="44"/>
          <w:lang w:val="en-US"/>
        </w:rPr>
        <w:t>年</w:t>
      </w:r>
      <w:r w:rsidR="00941CE7">
        <w:rPr>
          <w:rFonts w:ascii="Times New Roman" w:eastAsiaTheme="minorEastAsia" w:hAnsiTheme="minorEastAsia" w:hint="eastAsia"/>
          <w:b/>
          <w:kern w:val="2"/>
          <w:sz w:val="44"/>
          <w:szCs w:val="44"/>
          <w:lang w:val="en-US"/>
        </w:rPr>
        <w:t>半年度</w:t>
      </w:r>
      <w:r w:rsidR="00DC08B3">
        <w:rPr>
          <w:rFonts w:ascii="Times New Roman" w:eastAsiaTheme="minorEastAsia" w:hAnsiTheme="minorEastAsia" w:hint="eastAsia"/>
          <w:b/>
          <w:kern w:val="2"/>
          <w:sz w:val="44"/>
          <w:szCs w:val="44"/>
          <w:lang w:val="en-US"/>
        </w:rPr>
        <w:t>信息公告</w:t>
      </w:r>
    </w:p>
    <w:p w:rsidR="002818C2" w:rsidRPr="00581096" w:rsidRDefault="002818C2" w:rsidP="00581096">
      <w:pPr>
        <w:widowControl w:val="0"/>
        <w:spacing w:before="227" w:line="0" w:lineRule="atLeast"/>
        <w:jc w:val="center"/>
        <w:rPr>
          <w:rFonts w:asciiTheme="majorEastAsia" w:eastAsiaTheme="majorEastAsia" w:hAnsiTheme="majorEastAsia"/>
          <w:b/>
          <w:kern w:val="2"/>
          <w:sz w:val="32"/>
          <w:szCs w:val="32"/>
          <w:lang w:val="en-US"/>
        </w:rPr>
      </w:pPr>
    </w:p>
    <w:p w:rsidR="002818C2" w:rsidRPr="00581096" w:rsidRDefault="002818C2" w:rsidP="00FF721F">
      <w:pPr>
        <w:rPr>
          <w:rFonts w:asciiTheme="majorEastAsia" w:eastAsiaTheme="majorEastAsia" w:hAnsiTheme="majorEastAsia"/>
          <w:b/>
          <w:sz w:val="21"/>
          <w:szCs w:val="21"/>
          <w:lang w:val="en-US"/>
        </w:rPr>
      </w:pPr>
      <w:bookmarkStart w:id="1" w:name="company_cname"/>
      <w:bookmarkStart w:id="2" w:name="year"/>
      <w:bookmarkEnd w:id="1"/>
      <w:bookmarkEnd w:id="2"/>
    </w:p>
    <w:p w:rsidR="002818C2" w:rsidRDefault="002818C2" w:rsidP="00FF721F">
      <w:pPr>
        <w:rPr>
          <w:rFonts w:ascii="Times New Roman" w:eastAsiaTheme="minorEastAsia" w:hAnsiTheme="minorEastAsia"/>
          <w:sz w:val="21"/>
          <w:szCs w:val="21"/>
          <w:lang w:val="en-US"/>
        </w:rPr>
      </w:pPr>
    </w:p>
    <w:p w:rsidR="002818C2" w:rsidRDefault="002818C2" w:rsidP="00FF721F">
      <w:pPr>
        <w:rPr>
          <w:rFonts w:ascii="Times New Roman" w:eastAsiaTheme="minorEastAsia" w:hAnsiTheme="minorEastAsia"/>
          <w:sz w:val="21"/>
          <w:szCs w:val="21"/>
          <w:lang w:val="en-US"/>
        </w:rPr>
      </w:pPr>
    </w:p>
    <w:p w:rsidR="002818C2" w:rsidRDefault="002818C2" w:rsidP="00FF721F">
      <w:pPr>
        <w:rPr>
          <w:rFonts w:ascii="Times New Roman" w:eastAsiaTheme="minorEastAsia" w:hAnsiTheme="minorEastAsia"/>
          <w:sz w:val="21"/>
          <w:szCs w:val="21"/>
          <w:lang w:val="en-US"/>
        </w:rPr>
      </w:pPr>
    </w:p>
    <w:p w:rsidR="002818C2" w:rsidRDefault="002818C2" w:rsidP="00FF721F">
      <w:pPr>
        <w:rPr>
          <w:rFonts w:ascii="Times New Roman" w:eastAsiaTheme="minorEastAsia" w:hAnsiTheme="minorEastAsia"/>
          <w:sz w:val="21"/>
          <w:szCs w:val="21"/>
          <w:lang w:val="en-US"/>
        </w:rPr>
      </w:pPr>
    </w:p>
    <w:p w:rsidR="002818C2" w:rsidRDefault="002818C2" w:rsidP="00FF721F">
      <w:pPr>
        <w:rPr>
          <w:rFonts w:ascii="Times New Roman" w:eastAsiaTheme="minorEastAsia" w:hAnsiTheme="minorEastAsia"/>
          <w:sz w:val="21"/>
          <w:szCs w:val="21"/>
          <w:lang w:val="en-US"/>
        </w:rPr>
      </w:pPr>
    </w:p>
    <w:p w:rsidR="002818C2" w:rsidRPr="00E30EB4" w:rsidRDefault="002818C2" w:rsidP="00FF721F">
      <w:pPr>
        <w:rPr>
          <w:rFonts w:ascii="Times New Roman" w:eastAsiaTheme="minorEastAsia" w:hAnsiTheme="minorEastAsia"/>
          <w:sz w:val="21"/>
          <w:szCs w:val="21"/>
          <w:lang w:val="en-US"/>
        </w:rPr>
      </w:pPr>
    </w:p>
    <w:p w:rsidR="002818C2" w:rsidRPr="00E30EB4" w:rsidRDefault="002818C2" w:rsidP="00FF721F">
      <w:pPr>
        <w:rPr>
          <w:rFonts w:ascii="Times New Roman" w:eastAsiaTheme="minorEastAsia" w:hAnsiTheme="minorEastAsia"/>
          <w:sz w:val="21"/>
          <w:szCs w:val="21"/>
          <w:lang w:val="en-US"/>
        </w:rPr>
      </w:pPr>
    </w:p>
    <w:p w:rsidR="002818C2" w:rsidRPr="001F0A72" w:rsidRDefault="002818C2" w:rsidP="00FF721F">
      <w:pPr>
        <w:rPr>
          <w:rFonts w:ascii="Times New Roman" w:eastAsiaTheme="minorEastAsia" w:hAnsi="Times New Roman"/>
          <w:sz w:val="21"/>
          <w:szCs w:val="21"/>
          <w:lang w:val="en-US"/>
        </w:rPr>
      </w:pPr>
    </w:p>
    <w:p w:rsidR="00DD739D" w:rsidRDefault="00CC5E23">
      <w:pPr>
        <w:spacing w:line="360" w:lineRule="auto"/>
        <w:jc w:val="both"/>
        <w:rPr>
          <w:rFonts w:ascii="Times New Roman" w:eastAsiaTheme="minorEastAsia" w:hAnsi="Times New Roman"/>
          <w:b/>
          <w:sz w:val="21"/>
          <w:szCs w:val="21"/>
          <w:lang w:val="en-US"/>
        </w:rPr>
      </w:pPr>
      <w:r w:rsidRPr="00CC5E23">
        <w:rPr>
          <w:rFonts w:ascii="Times New Roman" w:eastAsiaTheme="minorEastAsia" w:hAnsiTheme="minorEastAsia" w:hint="eastAsia"/>
          <w:b/>
          <w:sz w:val="21"/>
          <w:szCs w:val="21"/>
          <w:lang w:val="en-US"/>
        </w:rPr>
        <w:t>重要声明与提示：</w:t>
      </w:r>
    </w:p>
    <w:p w:rsidR="00DD739D" w:rsidRDefault="00CC5E23" w:rsidP="005F681D">
      <w:pPr>
        <w:spacing w:line="360" w:lineRule="auto"/>
        <w:ind w:rightChars="118" w:right="260" w:firstLineChars="200" w:firstLine="420"/>
        <w:jc w:val="both"/>
        <w:rPr>
          <w:rFonts w:ascii="Times New Roman" w:eastAsiaTheme="minorEastAsia" w:hAnsi="Times New Roman"/>
          <w:sz w:val="21"/>
          <w:szCs w:val="21"/>
          <w:lang w:val="en-US"/>
        </w:rPr>
      </w:pPr>
      <w:r w:rsidRPr="00CC5E23">
        <w:rPr>
          <w:rFonts w:ascii="Times New Roman" w:eastAsiaTheme="minorEastAsia" w:hAnsiTheme="minorEastAsia" w:hint="eastAsia"/>
          <w:sz w:val="21"/>
          <w:szCs w:val="21"/>
          <w:lang w:val="en-US"/>
        </w:rPr>
        <w:t>本信息公告依据中国保险监督管理委员会颁布的</w:t>
      </w:r>
      <w:r w:rsidR="001D7AC7" w:rsidRPr="001D7AC7">
        <w:rPr>
          <w:rFonts w:ascii="Times New Roman" w:eastAsiaTheme="minorEastAsia" w:hAnsiTheme="minorEastAsia"/>
          <w:sz w:val="21"/>
          <w:szCs w:val="21"/>
          <w:lang w:val="en-US"/>
        </w:rPr>
        <w:t>《</w:t>
      </w:r>
      <w:r w:rsidR="001D7AC7" w:rsidRPr="001D7AC7">
        <w:rPr>
          <w:rFonts w:ascii="Times New Roman" w:eastAsiaTheme="minorEastAsia" w:hAnsiTheme="minorEastAsia" w:hint="eastAsia"/>
          <w:sz w:val="21"/>
          <w:szCs w:val="21"/>
          <w:lang w:val="en-US"/>
        </w:rPr>
        <w:t>中国保监会关于规范投资连结保险投资账户有关事项的通知</w:t>
      </w:r>
      <w:r w:rsidR="001D7AC7" w:rsidRPr="001D7AC7">
        <w:rPr>
          <w:rFonts w:ascii="Times New Roman" w:eastAsiaTheme="minorEastAsia" w:hAnsiTheme="minorEastAsia"/>
          <w:sz w:val="21"/>
          <w:szCs w:val="21"/>
          <w:lang w:val="en-US"/>
        </w:rPr>
        <w:t>》</w:t>
      </w:r>
      <w:r w:rsidRPr="00CC5E23">
        <w:rPr>
          <w:rFonts w:ascii="Times New Roman" w:eastAsiaTheme="minorEastAsia" w:hAnsiTheme="minorEastAsia" w:hint="eastAsia"/>
          <w:sz w:val="21"/>
          <w:szCs w:val="21"/>
          <w:lang w:val="en-US"/>
        </w:rPr>
        <w:t>和《人身保险新型产品信息披露管理办法》编制并发布。</w:t>
      </w:r>
    </w:p>
    <w:p w:rsidR="00DD739D" w:rsidRDefault="00CC5E23" w:rsidP="005F681D">
      <w:pPr>
        <w:spacing w:line="360" w:lineRule="auto"/>
        <w:ind w:firstLineChars="200" w:firstLine="420"/>
        <w:jc w:val="both"/>
        <w:rPr>
          <w:rFonts w:ascii="Times New Roman" w:eastAsiaTheme="minorEastAsia" w:hAnsi="Times New Roman"/>
          <w:sz w:val="21"/>
          <w:szCs w:val="21"/>
          <w:lang w:val="en-US"/>
        </w:rPr>
      </w:pPr>
      <w:r w:rsidRPr="00CC5E23">
        <w:rPr>
          <w:rFonts w:ascii="Times New Roman" w:eastAsiaTheme="minorEastAsia" w:hAnsiTheme="minorEastAsia" w:hint="eastAsia"/>
          <w:sz w:val="21"/>
          <w:szCs w:val="21"/>
          <w:lang w:val="en-US"/>
        </w:rPr>
        <w:t>本公司承诺遵循有关监管规定，以诚实信用、谨慎稳健的原则进行投资连结保险投资账户的投资。</w:t>
      </w:r>
    </w:p>
    <w:p w:rsidR="00DD739D" w:rsidRDefault="00CC5E23" w:rsidP="007511D3">
      <w:pPr>
        <w:spacing w:line="360" w:lineRule="auto"/>
        <w:ind w:rightChars="118" w:right="260" w:firstLine="405"/>
        <w:jc w:val="both"/>
        <w:rPr>
          <w:rFonts w:ascii="Times New Roman" w:eastAsiaTheme="minorEastAsia" w:hAnsi="Times New Roman"/>
          <w:sz w:val="21"/>
          <w:szCs w:val="21"/>
          <w:lang w:val="en-US"/>
        </w:rPr>
        <w:sectPr w:rsidR="00DD739D" w:rsidSect="00532157">
          <w:footerReference w:type="default" r:id="rId9"/>
          <w:pgSz w:w="11906" w:h="16838" w:code="9"/>
          <w:pgMar w:top="1440" w:right="1800" w:bottom="1440" w:left="1800" w:header="851" w:footer="992" w:gutter="0"/>
          <w:cols w:space="425"/>
          <w:docGrid w:type="lines" w:linePitch="312"/>
        </w:sectPr>
      </w:pPr>
      <w:r w:rsidRPr="00CC5E23">
        <w:rPr>
          <w:rFonts w:ascii="Times New Roman" w:eastAsiaTheme="minorEastAsia" w:hAnsiTheme="minorEastAsia" w:hint="eastAsia"/>
          <w:sz w:val="21"/>
          <w:szCs w:val="21"/>
          <w:lang w:val="en-US"/>
        </w:rPr>
        <w:t>本信息公告所披露数据仅代表过往业绩，并不代表其未来表现。敬请投保人注意投资风险，并仔细阅读相关保险条款和产品说明书。</w:t>
      </w:r>
      <w:r w:rsidRPr="00CC5E23">
        <w:rPr>
          <w:rFonts w:ascii="Times New Roman" w:eastAsiaTheme="minorEastAsia" w:hAnsi="Times New Roman"/>
          <w:sz w:val="21"/>
          <w:szCs w:val="21"/>
          <w:lang w:val="en-US"/>
        </w:rPr>
        <w:br/>
      </w:r>
      <w:r w:rsidRPr="00CC5E23">
        <w:rPr>
          <w:rFonts w:ascii="Times New Roman" w:eastAsiaTheme="minorEastAsia" w:hAnsiTheme="minorEastAsia" w:hint="eastAsia"/>
          <w:sz w:val="21"/>
          <w:szCs w:val="21"/>
          <w:lang w:val="en-US"/>
        </w:rPr>
        <w:t xml:space="preserve">　</w:t>
      </w:r>
      <w:r w:rsidRPr="00CC5E23">
        <w:rPr>
          <w:rFonts w:ascii="Times New Roman" w:eastAsiaTheme="minorEastAsia" w:hAnsi="Times New Roman"/>
          <w:sz w:val="21"/>
          <w:szCs w:val="21"/>
          <w:lang w:val="en-US"/>
        </w:rPr>
        <w:t xml:space="preserve">  </w:t>
      </w:r>
      <w:r w:rsidRPr="00CC5E23">
        <w:rPr>
          <w:rFonts w:ascii="Times New Roman" w:eastAsiaTheme="minorEastAsia" w:hAnsiTheme="minorEastAsia" w:hint="eastAsia"/>
          <w:sz w:val="21"/>
          <w:szCs w:val="21"/>
          <w:lang w:val="en-US"/>
        </w:rPr>
        <w:t>本信息公告报告期为</w:t>
      </w:r>
      <w:r w:rsidRPr="00CC5E23">
        <w:rPr>
          <w:rFonts w:ascii="Times New Roman" w:eastAsiaTheme="minorEastAsia" w:hAnsi="Times New Roman"/>
          <w:sz w:val="21"/>
          <w:szCs w:val="21"/>
          <w:lang w:val="en-US"/>
        </w:rPr>
        <w:t>201</w:t>
      </w:r>
      <w:r w:rsidR="00303D72">
        <w:rPr>
          <w:rFonts w:ascii="Times New Roman" w:eastAsiaTheme="minorEastAsia" w:hAnsi="Times New Roman" w:hint="eastAsia"/>
          <w:sz w:val="21"/>
          <w:szCs w:val="21"/>
          <w:lang w:val="en-US"/>
        </w:rPr>
        <w:t>5</w:t>
      </w:r>
      <w:r w:rsidRPr="00604C30">
        <w:rPr>
          <w:rFonts w:ascii="Times New Roman" w:eastAsiaTheme="minorEastAsia" w:hAnsiTheme="minorEastAsia" w:hint="eastAsia"/>
          <w:sz w:val="21"/>
          <w:szCs w:val="21"/>
          <w:lang w:val="en-US"/>
        </w:rPr>
        <w:t>年</w:t>
      </w:r>
      <w:r w:rsidR="00303D72">
        <w:rPr>
          <w:rFonts w:ascii="Times New Roman" w:eastAsiaTheme="minorEastAsia" w:hAnsi="Times New Roman" w:hint="eastAsia"/>
          <w:sz w:val="21"/>
          <w:szCs w:val="21"/>
          <w:lang w:val="en-US"/>
        </w:rPr>
        <w:t>1</w:t>
      </w:r>
      <w:r w:rsidRPr="00604C30">
        <w:rPr>
          <w:rFonts w:ascii="Times New Roman" w:eastAsiaTheme="minorEastAsia" w:hAnsiTheme="minorEastAsia" w:hint="eastAsia"/>
          <w:sz w:val="21"/>
          <w:szCs w:val="21"/>
          <w:lang w:val="en-US"/>
        </w:rPr>
        <w:t>月</w:t>
      </w:r>
      <w:r w:rsidR="00303D72">
        <w:rPr>
          <w:rFonts w:ascii="Times New Roman" w:eastAsiaTheme="minorEastAsia" w:hAnsi="Times New Roman" w:hint="eastAsia"/>
          <w:sz w:val="21"/>
          <w:szCs w:val="21"/>
          <w:lang w:val="en-US"/>
        </w:rPr>
        <w:t>1</w:t>
      </w:r>
      <w:r w:rsidR="009060E7">
        <w:rPr>
          <w:rFonts w:ascii="Times New Roman" w:eastAsiaTheme="minorEastAsia" w:hAnsiTheme="minorEastAsia" w:hint="eastAsia"/>
          <w:sz w:val="21"/>
          <w:szCs w:val="21"/>
          <w:lang w:val="en-US"/>
        </w:rPr>
        <w:t>日</w:t>
      </w:r>
      <w:r w:rsidR="009060E7">
        <w:rPr>
          <w:rFonts w:ascii="Times New Roman" w:eastAsiaTheme="minorEastAsia" w:hAnsi="Times New Roman"/>
          <w:sz w:val="21"/>
          <w:szCs w:val="21"/>
          <w:lang w:val="en-US"/>
        </w:rPr>
        <w:t>-201</w:t>
      </w:r>
      <w:r w:rsidR="00460E14">
        <w:rPr>
          <w:rFonts w:ascii="Times New Roman" w:eastAsiaTheme="minorEastAsia" w:hAnsi="Times New Roman" w:hint="eastAsia"/>
          <w:sz w:val="21"/>
          <w:szCs w:val="21"/>
          <w:lang w:val="en-US"/>
        </w:rPr>
        <w:t>5</w:t>
      </w:r>
      <w:r w:rsidRPr="00CC5E23">
        <w:rPr>
          <w:rFonts w:ascii="Times New Roman" w:eastAsiaTheme="minorEastAsia" w:hAnsiTheme="minorEastAsia" w:hint="eastAsia"/>
          <w:sz w:val="21"/>
          <w:szCs w:val="21"/>
          <w:lang w:val="en-US"/>
        </w:rPr>
        <w:t>年</w:t>
      </w:r>
      <w:r w:rsidR="00460E14">
        <w:rPr>
          <w:rFonts w:ascii="Times New Roman" w:eastAsiaTheme="minorEastAsia" w:hAnsi="Times New Roman" w:hint="eastAsia"/>
          <w:sz w:val="21"/>
          <w:szCs w:val="21"/>
          <w:lang w:val="en-US"/>
        </w:rPr>
        <w:t>6</w:t>
      </w:r>
      <w:r w:rsidRPr="00CC5E23">
        <w:rPr>
          <w:rFonts w:ascii="Times New Roman" w:eastAsiaTheme="minorEastAsia" w:hAnsiTheme="minorEastAsia" w:hint="eastAsia"/>
          <w:sz w:val="21"/>
          <w:szCs w:val="21"/>
          <w:lang w:val="en-US"/>
        </w:rPr>
        <w:t>月</w:t>
      </w:r>
      <w:r w:rsidR="00460E14">
        <w:rPr>
          <w:rFonts w:ascii="Times New Roman" w:eastAsiaTheme="minorEastAsia" w:hAnsi="Times New Roman" w:hint="eastAsia"/>
          <w:sz w:val="21"/>
          <w:szCs w:val="21"/>
          <w:lang w:val="en-US"/>
        </w:rPr>
        <w:t>30</w:t>
      </w:r>
      <w:r w:rsidRPr="00CC5E23">
        <w:rPr>
          <w:rFonts w:ascii="Times New Roman" w:eastAsiaTheme="minorEastAsia" w:hAnsiTheme="minorEastAsia" w:hint="eastAsia"/>
          <w:sz w:val="21"/>
          <w:szCs w:val="21"/>
          <w:lang w:val="en-US"/>
        </w:rPr>
        <w:t>日。</w:t>
      </w:r>
    </w:p>
    <w:p w:rsidR="00CC5E23" w:rsidRPr="00CC5E23" w:rsidRDefault="00CC5E23" w:rsidP="00CC5E23">
      <w:pPr>
        <w:spacing w:line="360" w:lineRule="auto"/>
        <w:ind w:firstLineChars="196" w:firstLine="413"/>
        <w:jc w:val="both"/>
        <w:rPr>
          <w:rFonts w:ascii="Times New Roman" w:eastAsiaTheme="minorEastAsia" w:hAnsi="Times New Roman"/>
          <w:b/>
          <w:sz w:val="21"/>
          <w:szCs w:val="21"/>
          <w:lang w:val="en-US"/>
        </w:rPr>
      </w:pPr>
      <w:r w:rsidRPr="00CC5E23">
        <w:rPr>
          <w:rFonts w:ascii="Times New Roman" w:eastAsiaTheme="minorEastAsia" w:hAnsiTheme="minorEastAsia" w:hint="eastAsia"/>
          <w:b/>
          <w:sz w:val="21"/>
          <w:szCs w:val="21"/>
          <w:lang w:val="en-US"/>
        </w:rPr>
        <w:lastRenderedPageBreak/>
        <w:t>一、基本信息</w:t>
      </w:r>
    </w:p>
    <w:p w:rsidR="00DD739D" w:rsidRDefault="00CC5E23" w:rsidP="005F681D">
      <w:pPr>
        <w:spacing w:line="360" w:lineRule="auto"/>
        <w:ind w:firstLineChars="200" w:firstLine="420"/>
        <w:jc w:val="both"/>
        <w:rPr>
          <w:rFonts w:ascii="Times New Roman" w:eastAsiaTheme="minorEastAsia" w:hAnsi="Times New Roman"/>
          <w:sz w:val="21"/>
          <w:szCs w:val="21"/>
          <w:lang w:val="en-US"/>
        </w:rPr>
      </w:pPr>
      <w:r w:rsidRPr="00CC5E23">
        <w:rPr>
          <w:rFonts w:ascii="Times New Roman" w:eastAsiaTheme="minorEastAsia" w:hAnsiTheme="minorEastAsia" w:hint="eastAsia"/>
          <w:sz w:val="21"/>
          <w:szCs w:val="21"/>
          <w:lang w:val="en-US"/>
        </w:rPr>
        <w:t>自</w:t>
      </w:r>
      <w:r w:rsidRPr="00CC5E23">
        <w:rPr>
          <w:rFonts w:ascii="Times New Roman" w:eastAsiaTheme="minorEastAsia" w:hAnsi="Times New Roman"/>
          <w:sz w:val="21"/>
          <w:szCs w:val="21"/>
          <w:lang w:val="en-US"/>
        </w:rPr>
        <w:t>2014</w:t>
      </w:r>
      <w:r w:rsidRPr="00CC5E23">
        <w:rPr>
          <w:rFonts w:ascii="Times New Roman" w:eastAsiaTheme="minorEastAsia" w:hAnsiTheme="minorEastAsia" w:hint="eastAsia"/>
          <w:sz w:val="21"/>
          <w:szCs w:val="21"/>
          <w:lang w:val="en-US"/>
        </w:rPr>
        <w:t>年</w:t>
      </w:r>
      <w:r w:rsidR="004E4A68">
        <w:rPr>
          <w:rFonts w:ascii="Times New Roman" w:eastAsiaTheme="minorEastAsia" w:hAnsi="Times New Roman" w:hint="eastAsia"/>
          <w:sz w:val="21"/>
          <w:szCs w:val="21"/>
          <w:lang w:val="en-US"/>
        </w:rPr>
        <w:t>5</w:t>
      </w:r>
      <w:r w:rsidRPr="00CC5E23">
        <w:rPr>
          <w:rFonts w:ascii="Times New Roman" w:eastAsiaTheme="minorEastAsia" w:hAnsiTheme="minorEastAsia" w:hint="eastAsia"/>
          <w:sz w:val="21"/>
          <w:szCs w:val="21"/>
          <w:lang w:val="en-US"/>
        </w:rPr>
        <w:t>月起，本公司通过电子商务渠道销售投资连结保险产品</w:t>
      </w:r>
      <w:r w:rsidRPr="00CC5E23">
        <w:rPr>
          <w:rFonts w:ascii="Times New Roman" w:eastAsiaTheme="minorEastAsia" w:hAnsi="Times New Roman"/>
          <w:sz w:val="21"/>
          <w:szCs w:val="21"/>
          <w:lang w:val="en-US"/>
        </w:rPr>
        <w:t>——</w:t>
      </w:r>
      <w:r w:rsidRPr="00CC5E23">
        <w:rPr>
          <w:rFonts w:ascii="Times New Roman" w:eastAsiaTheme="minorEastAsia" w:hAnsiTheme="minorEastAsia" w:hint="eastAsia"/>
          <w:sz w:val="21"/>
          <w:szCs w:val="21"/>
          <w:lang w:val="en-US"/>
        </w:rPr>
        <w:t>国华华瑞</w:t>
      </w:r>
      <w:r w:rsidRPr="00CC5E23">
        <w:rPr>
          <w:rFonts w:ascii="Times New Roman" w:eastAsiaTheme="minorEastAsia" w:hAnsi="Times New Roman"/>
          <w:sz w:val="21"/>
          <w:szCs w:val="21"/>
          <w:lang w:val="en-US"/>
        </w:rPr>
        <w:t>1</w:t>
      </w:r>
      <w:r w:rsidRPr="00CC5E23">
        <w:rPr>
          <w:rFonts w:ascii="Times New Roman" w:eastAsiaTheme="minorEastAsia" w:hAnsiTheme="minorEastAsia" w:hint="eastAsia"/>
          <w:sz w:val="21"/>
          <w:szCs w:val="21"/>
          <w:lang w:val="en-US"/>
        </w:rPr>
        <w:t>号终身寿险（投资连结型）</w:t>
      </w:r>
      <w:r w:rsidRPr="00CC5E23">
        <w:rPr>
          <w:rFonts w:ascii="Times New Roman" w:eastAsiaTheme="minorEastAsia" w:hAnsi="Times New Roman"/>
          <w:sz w:val="21"/>
          <w:szCs w:val="21"/>
          <w:lang w:val="en-US"/>
        </w:rPr>
        <w:t>A</w:t>
      </w:r>
      <w:r w:rsidRPr="00CC5E23">
        <w:rPr>
          <w:rFonts w:ascii="Times New Roman" w:eastAsiaTheme="minorEastAsia" w:hAnsiTheme="minorEastAsia" w:hint="eastAsia"/>
          <w:sz w:val="21"/>
          <w:szCs w:val="21"/>
          <w:lang w:val="en-US"/>
        </w:rPr>
        <w:t>款。公司为投资连结保险产品设立了国华</w:t>
      </w:r>
      <w:r w:rsidR="004E4A68">
        <w:rPr>
          <w:rFonts w:ascii="Times New Roman" w:eastAsiaTheme="minorEastAsia" w:hAnsiTheme="minorEastAsia" w:hint="eastAsia"/>
          <w:sz w:val="21"/>
          <w:szCs w:val="21"/>
          <w:lang w:val="en-US"/>
        </w:rPr>
        <w:t>稳健</w:t>
      </w:r>
      <w:r w:rsidRPr="00CC5E23">
        <w:rPr>
          <w:rFonts w:ascii="Times New Roman" w:eastAsiaTheme="minorEastAsia" w:hAnsiTheme="minorEastAsia" w:hint="eastAsia"/>
          <w:sz w:val="21"/>
          <w:szCs w:val="21"/>
          <w:lang w:val="en-US"/>
        </w:rPr>
        <w:t>型投资账户，该账户依照中国保监会有关规定和国华华瑞</w:t>
      </w:r>
      <w:r w:rsidRPr="00CC5E23">
        <w:rPr>
          <w:rFonts w:ascii="Times New Roman" w:eastAsiaTheme="minorEastAsia" w:hAnsi="Times New Roman"/>
          <w:sz w:val="21"/>
          <w:szCs w:val="21"/>
          <w:lang w:val="en-US"/>
        </w:rPr>
        <w:t>1</w:t>
      </w:r>
      <w:r w:rsidRPr="00CC5E23">
        <w:rPr>
          <w:rFonts w:ascii="Times New Roman" w:eastAsiaTheme="minorEastAsia" w:hAnsiTheme="minorEastAsia" w:hint="eastAsia"/>
          <w:sz w:val="21"/>
          <w:szCs w:val="21"/>
          <w:lang w:val="en-US"/>
        </w:rPr>
        <w:t>号终身寿险（投资连结型）</w:t>
      </w:r>
      <w:r w:rsidRPr="00CC5E23">
        <w:rPr>
          <w:rFonts w:ascii="Times New Roman" w:eastAsiaTheme="minorEastAsia" w:hAnsi="Times New Roman"/>
          <w:sz w:val="21"/>
          <w:szCs w:val="21"/>
          <w:lang w:val="en-US"/>
        </w:rPr>
        <w:t>A</w:t>
      </w:r>
      <w:r w:rsidRPr="00CC5E23">
        <w:rPr>
          <w:rFonts w:ascii="Times New Roman" w:eastAsiaTheme="minorEastAsia" w:hAnsiTheme="minorEastAsia" w:hint="eastAsia"/>
          <w:sz w:val="21"/>
          <w:szCs w:val="21"/>
          <w:lang w:val="en-US"/>
        </w:rPr>
        <w:t>款有关条款，并经中国保监会审批后设立。</w:t>
      </w:r>
    </w:p>
    <w:p w:rsidR="00DD739D" w:rsidRDefault="00CC5E23" w:rsidP="005F681D">
      <w:pPr>
        <w:spacing w:line="360" w:lineRule="auto"/>
        <w:ind w:firstLineChars="200" w:firstLine="420"/>
        <w:jc w:val="both"/>
        <w:rPr>
          <w:rFonts w:ascii="Times New Roman" w:eastAsiaTheme="minorEastAsia" w:hAnsi="Times New Roman"/>
          <w:sz w:val="21"/>
          <w:szCs w:val="21"/>
          <w:lang w:val="en-US"/>
        </w:rPr>
      </w:pPr>
      <w:r w:rsidRPr="00CC5E23">
        <w:rPr>
          <w:rFonts w:ascii="Times New Roman" w:eastAsiaTheme="minorEastAsia" w:hAnsiTheme="minorEastAsia" w:hint="eastAsia"/>
          <w:sz w:val="21"/>
          <w:szCs w:val="21"/>
          <w:lang w:val="en-US"/>
        </w:rPr>
        <w:t>上述投资账户采取专业化的资金运作管理方式，投资管理与投资组合均符合中国保监会相关规定和保单条款的有关内容。</w:t>
      </w:r>
    </w:p>
    <w:p w:rsidR="004E4A68" w:rsidRPr="004E4A68" w:rsidRDefault="00CC5E23" w:rsidP="004E4A68">
      <w:pPr>
        <w:spacing w:line="360" w:lineRule="auto"/>
        <w:ind w:firstLineChars="200" w:firstLine="420"/>
        <w:jc w:val="both"/>
        <w:rPr>
          <w:rFonts w:ascii="Times New Roman" w:eastAsiaTheme="minorEastAsia" w:hAnsiTheme="minorEastAsia"/>
          <w:sz w:val="21"/>
          <w:szCs w:val="21"/>
          <w:lang w:val="en-US"/>
        </w:rPr>
      </w:pPr>
      <w:r w:rsidRPr="004E4A68">
        <w:rPr>
          <w:rFonts w:ascii="Times New Roman" w:eastAsiaTheme="minorEastAsia" w:hAnsiTheme="minorEastAsia"/>
          <w:sz w:val="21"/>
          <w:szCs w:val="21"/>
          <w:lang w:val="en-US"/>
        </w:rPr>
        <w:t>1</w:t>
      </w:r>
      <w:r w:rsidRPr="004E4A68">
        <w:rPr>
          <w:rFonts w:ascii="Times New Roman" w:eastAsiaTheme="minorEastAsia" w:hAnsiTheme="minorEastAsia" w:hint="eastAsia"/>
          <w:sz w:val="21"/>
          <w:szCs w:val="21"/>
          <w:lang w:val="en-US"/>
        </w:rPr>
        <w:t>、账户设立时间</w:t>
      </w:r>
      <w:r w:rsidRPr="00CC5E23">
        <w:rPr>
          <w:rFonts w:ascii="Times New Roman" w:eastAsiaTheme="minorEastAsia" w:hAnsiTheme="minorEastAsia" w:hint="eastAsia"/>
          <w:sz w:val="21"/>
          <w:szCs w:val="21"/>
          <w:lang w:val="en-US"/>
        </w:rPr>
        <w:t>：</w:t>
      </w:r>
      <w:r w:rsidRPr="004E4A68">
        <w:rPr>
          <w:rFonts w:ascii="Times New Roman" w:eastAsiaTheme="minorEastAsia" w:hAnsiTheme="minorEastAsia"/>
          <w:sz w:val="21"/>
          <w:szCs w:val="21"/>
          <w:lang w:val="en-US"/>
        </w:rPr>
        <w:t>2014</w:t>
      </w:r>
      <w:r w:rsidRPr="00CC5E23">
        <w:rPr>
          <w:rFonts w:ascii="Times New Roman" w:eastAsiaTheme="minorEastAsia" w:hAnsiTheme="minorEastAsia" w:hint="eastAsia"/>
          <w:sz w:val="21"/>
          <w:szCs w:val="21"/>
          <w:lang w:val="en-US"/>
        </w:rPr>
        <w:t>年</w:t>
      </w:r>
      <w:r w:rsidR="004E4A68" w:rsidRPr="004E4A68">
        <w:rPr>
          <w:rFonts w:ascii="Times New Roman" w:eastAsiaTheme="minorEastAsia" w:hAnsiTheme="minorEastAsia" w:hint="eastAsia"/>
          <w:sz w:val="21"/>
          <w:szCs w:val="21"/>
          <w:lang w:val="en-US"/>
        </w:rPr>
        <w:t>5</w:t>
      </w:r>
      <w:r w:rsidRPr="00CC5E23">
        <w:rPr>
          <w:rFonts w:ascii="Times New Roman" w:eastAsiaTheme="minorEastAsia" w:hAnsiTheme="minorEastAsia" w:hint="eastAsia"/>
          <w:sz w:val="21"/>
          <w:szCs w:val="21"/>
          <w:lang w:val="en-US"/>
        </w:rPr>
        <w:t>月</w:t>
      </w:r>
      <w:r w:rsidR="004E4A68" w:rsidRPr="004E4A68">
        <w:rPr>
          <w:rFonts w:ascii="Times New Roman" w:eastAsiaTheme="minorEastAsia" w:hAnsiTheme="minorEastAsia" w:hint="eastAsia"/>
          <w:sz w:val="21"/>
          <w:szCs w:val="21"/>
          <w:lang w:val="en-US"/>
        </w:rPr>
        <w:t>29</w:t>
      </w:r>
      <w:r w:rsidRPr="00CC5E23">
        <w:rPr>
          <w:rFonts w:ascii="Times New Roman" w:eastAsiaTheme="minorEastAsia" w:hAnsiTheme="minorEastAsia" w:hint="eastAsia"/>
          <w:sz w:val="21"/>
          <w:szCs w:val="21"/>
          <w:lang w:val="en-US"/>
        </w:rPr>
        <w:t>日。</w:t>
      </w:r>
      <w:r w:rsidRPr="004E4A68">
        <w:rPr>
          <w:rFonts w:ascii="Times New Roman" w:eastAsiaTheme="minorEastAsia" w:hAnsiTheme="minorEastAsia"/>
          <w:sz w:val="21"/>
          <w:szCs w:val="21"/>
          <w:lang w:val="en-US"/>
        </w:rPr>
        <w:br/>
      </w:r>
      <w:r w:rsidRPr="00CC5E23">
        <w:rPr>
          <w:rFonts w:ascii="Times New Roman" w:eastAsiaTheme="minorEastAsia" w:hAnsiTheme="minorEastAsia" w:hint="eastAsia"/>
          <w:sz w:val="21"/>
          <w:szCs w:val="21"/>
          <w:lang w:val="en-US"/>
        </w:rPr>
        <w:t xml:space="preserve">　　</w:t>
      </w:r>
      <w:r w:rsidRPr="004E4A68">
        <w:rPr>
          <w:rFonts w:ascii="Times New Roman" w:eastAsiaTheme="minorEastAsia" w:hAnsiTheme="minorEastAsia"/>
          <w:sz w:val="21"/>
          <w:szCs w:val="21"/>
          <w:lang w:val="en-US"/>
        </w:rPr>
        <w:t>2</w:t>
      </w:r>
      <w:r w:rsidRPr="004E4A68">
        <w:rPr>
          <w:rFonts w:ascii="Times New Roman" w:eastAsiaTheme="minorEastAsia" w:hAnsiTheme="minorEastAsia" w:hint="eastAsia"/>
          <w:sz w:val="21"/>
          <w:szCs w:val="21"/>
          <w:lang w:val="en-US"/>
        </w:rPr>
        <w:t>、账户特征：</w:t>
      </w:r>
      <w:r w:rsidR="004E4A68" w:rsidRPr="004E4A68">
        <w:rPr>
          <w:rFonts w:ascii="Times New Roman" w:eastAsiaTheme="minorEastAsia" w:hAnsiTheme="minorEastAsia" w:hint="eastAsia"/>
          <w:sz w:val="21"/>
          <w:szCs w:val="21"/>
          <w:lang w:val="en-US"/>
        </w:rPr>
        <w:t>本投资账户为稳健型投资账户，以固定收益类资产投资为主，在承担中等投资风险的基础上，力求获得投资账户资产的长期稳定增长</w:t>
      </w:r>
      <w:r w:rsidRPr="004E4A68">
        <w:rPr>
          <w:rFonts w:ascii="Times New Roman" w:eastAsiaTheme="minorEastAsia" w:hAnsiTheme="minorEastAsia" w:hint="eastAsia"/>
          <w:sz w:val="21"/>
          <w:szCs w:val="21"/>
          <w:lang w:val="en-US"/>
        </w:rPr>
        <w:t>。</w:t>
      </w:r>
      <w:r w:rsidRPr="004E4A68">
        <w:rPr>
          <w:rFonts w:ascii="Times New Roman" w:eastAsiaTheme="minorEastAsia" w:hAnsiTheme="minorEastAsia"/>
          <w:sz w:val="21"/>
          <w:szCs w:val="21"/>
          <w:lang w:val="en-US"/>
        </w:rPr>
        <w:br/>
      </w:r>
      <w:r w:rsidRPr="00CC5E23">
        <w:rPr>
          <w:rFonts w:ascii="Times New Roman" w:eastAsiaTheme="minorEastAsia" w:hAnsiTheme="minorEastAsia" w:hint="eastAsia"/>
          <w:sz w:val="21"/>
          <w:szCs w:val="21"/>
          <w:lang w:val="en-US"/>
        </w:rPr>
        <w:t xml:space="preserve">　　</w:t>
      </w:r>
      <w:r w:rsidRPr="004E4A68">
        <w:rPr>
          <w:rFonts w:ascii="Times New Roman" w:eastAsiaTheme="minorEastAsia" w:hAnsiTheme="minorEastAsia"/>
          <w:sz w:val="21"/>
          <w:szCs w:val="21"/>
          <w:lang w:val="en-US"/>
        </w:rPr>
        <w:t>3</w:t>
      </w:r>
      <w:r w:rsidRPr="004E4A68">
        <w:rPr>
          <w:rFonts w:ascii="Times New Roman" w:eastAsiaTheme="minorEastAsia" w:hAnsiTheme="minorEastAsia" w:hint="eastAsia"/>
          <w:sz w:val="21"/>
          <w:szCs w:val="21"/>
          <w:lang w:val="en-US"/>
        </w:rPr>
        <w:t>、主要投资工具及投资策略：</w:t>
      </w:r>
      <w:r w:rsidR="004E4A68" w:rsidRPr="004E4A68">
        <w:rPr>
          <w:rFonts w:ascii="Times New Roman" w:eastAsiaTheme="minorEastAsia" w:hAnsiTheme="minorEastAsia" w:hint="eastAsia"/>
          <w:sz w:val="21"/>
          <w:szCs w:val="21"/>
          <w:lang w:val="en-US"/>
        </w:rPr>
        <w:t>本账户以固定收益类资产投资为主，固定收益类资产包括各种债券、回购、银行协议存款、债券型基金、基础设施债权投资计划等，其中各种债券包括国债、政策性金融债、央行票据、短期融资券、中期票据、企业债和公司债等。本账户也将投资于流动性资产和金融产品。其中，流动性资产包括现金、货币市场基金、银行活期存款、银行通知存款、剩余期限不超过</w:t>
      </w:r>
      <w:r w:rsidR="004E4A68" w:rsidRPr="004E4A68">
        <w:rPr>
          <w:rFonts w:ascii="Times New Roman" w:eastAsiaTheme="minorEastAsia" w:hAnsiTheme="minorEastAsia"/>
          <w:sz w:val="21"/>
          <w:szCs w:val="21"/>
          <w:lang w:val="en-US"/>
        </w:rPr>
        <w:t>1</w:t>
      </w:r>
      <w:r w:rsidR="004E4A68" w:rsidRPr="004E4A68">
        <w:rPr>
          <w:rFonts w:ascii="Times New Roman" w:eastAsiaTheme="minorEastAsia" w:hAnsiTheme="minorEastAsia" w:hint="eastAsia"/>
          <w:sz w:val="21"/>
          <w:szCs w:val="21"/>
          <w:lang w:val="en-US"/>
        </w:rPr>
        <w:t>年的政府债券和准政府债券等；金融产品包括银行理财产品、券商专项资产管理计划、信托公司集合资金信托计划和不动产投资计划等。本投资账户不投资于权益类资产。</w:t>
      </w:r>
    </w:p>
    <w:p w:rsidR="00DD739D" w:rsidRDefault="004E4A68" w:rsidP="004E4A68">
      <w:pPr>
        <w:spacing w:line="360" w:lineRule="auto"/>
        <w:ind w:firstLineChars="200" w:firstLine="420"/>
        <w:jc w:val="both"/>
        <w:rPr>
          <w:rFonts w:ascii="Times New Roman" w:eastAsiaTheme="minorEastAsia" w:hAnsi="Times New Roman"/>
          <w:sz w:val="20"/>
          <w:szCs w:val="20"/>
        </w:rPr>
      </w:pPr>
      <w:r w:rsidRPr="004E4A68">
        <w:rPr>
          <w:rFonts w:ascii="Times New Roman" w:eastAsiaTheme="minorEastAsia" w:hAnsiTheme="minorEastAsia" w:hint="eastAsia"/>
          <w:sz w:val="21"/>
          <w:szCs w:val="21"/>
          <w:lang w:val="en-US"/>
        </w:rPr>
        <w:t>本投资账户主要通过投资证券投资基金、银行存款、债券、回购、债权投资计划、信托公司集合资金信托计划和银行理财产品等品种来获得稳定收益；在具体投资中，通过债券投资组合久期的变化来应对市场利率变化，与此同时，在债券品种的选择上，注重于企业债、公司债等信用产品的投资，通过对不同信用产品的深入分析，获取超额收益；在对利率走势做准确判</w:t>
      </w:r>
      <w:r w:rsidRPr="00B74FE7">
        <w:rPr>
          <w:rFonts w:ascii="Times New Roman" w:eastAsiaTheme="minorEastAsia" w:hAnsiTheme="minorEastAsia" w:hint="eastAsia"/>
          <w:sz w:val="21"/>
          <w:szCs w:val="21"/>
          <w:lang w:val="en-US"/>
        </w:rPr>
        <w:t>断的同时，获取较为稳定的信用利差收益</w:t>
      </w:r>
      <w:r w:rsidR="00CC5E23" w:rsidRPr="00B74FE7">
        <w:rPr>
          <w:rFonts w:ascii="Times New Roman" w:eastAsiaTheme="minorEastAsia" w:hAnsiTheme="minorEastAsia" w:hint="eastAsia"/>
          <w:sz w:val="21"/>
          <w:szCs w:val="21"/>
          <w:lang w:val="en-US"/>
        </w:rPr>
        <w:t>。</w:t>
      </w:r>
      <w:r w:rsidR="00CC5E23" w:rsidRPr="00B74FE7">
        <w:rPr>
          <w:rFonts w:ascii="Times New Roman" w:eastAsiaTheme="minorEastAsia" w:hAnsiTheme="minorEastAsia"/>
          <w:sz w:val="21"/>
          <w:szCs w:val="21"/>
          <w:lang w:val="en-US"/>
        </w:rPr>
        <w:br/>
      </w:r>
      <w:r w:rsidR="00CC5E23" w:rsidRPr="00B74FE7">
        <w:rPr>
          <w:rFonts w:ascii="Times New Roman" w:eastAsiaTheme="minorEastAsia" w:hAnsiTheme="minorEastAsia" w:hint="eastAsia"/>
          <w:sz w:val="21"/>
          <w:szCs w:val="21"/>
          <w:lang w:val="en-US"/>
        </w:rPr>
        <w:t xml:space="preserve">　　</w:t>
      </w:r>
      <w:r w:rsidR="00CC5E23" w:rsidRPr="00B74FE7">
        <w:rPr>
          <w:rFonts w:ascii="Times New Roman" w:eastAsiaTheme="minorEastAsia" w:hAnsi="Times New Roman"/>
          <w:sz w:val="21"/>
          <w:szCs w:val="21"/>
          <w:lang w:val="en-US"/>
        </w:rPr>
        <w:t>4</w:t>
      </w:r>
      <w:r w:rsidR="00CC5E23" w:rsidRPr="00B74FE7">
        <w:rPr>
          <w:rFonts w:ascii="Times New Roman" w:eastAsiaTheme="minorEastAsia" w:hAnsiTheme="minorEastAsia" w:hint="eastAsia"/>
          <w:sz w:val="21"/>
          <w:szCs w:val="21"/>
          <w:lang w:val="en-US"/>
        </w:rPr>
        <w:t>、投资组合限制：</w:t>
      </w:r>
      <w:r w:rsidRPr="00B74FE7">
        <w:rPr>
          <w:rFonts w:ascii="Times New Roman" w:eastAsiaTheme="minorEastAsia" w:hAnsiTheme="minorEastAsia" w:hint="eastAsia"/>
          <w:sz w:val="21"/>
          <w:szCs w:val="21"/>
          <w:lang w:val="en-US"/>
        </w:rPr>
        <w:t>流动性资产投资比例为账户总资产的</w:t>
      </w:r>
      <w:r w:rsidRPr="00B74FE7">
        <w:rPr>
          <w:rFonts w:ascii="Times New Roman" w:eastAsiaTheme="minorEastAsia" w:hAnsiTheme="minorEastAsia"/>
          <w:sz w:val="21"/>
          <w:szCs w:val="21"/>
          <w:lang w:val="en-US"/>
        </w:rPr>
        <w:t>0-20%</w:t>
      </w:r>
      <w:r w:rsidRPr="00B74FE7">
        <w:rPr>
          <w:rFonts w:ascii="Times New Roman" w:eastAsiaTheme="minorEastAsia" w:hAnsiTheme="minorEastAsia" w:hint="eastAsia"/>
          <w:sz w:val="21"/>
          <w:szCs w:val="21"/>
          <w:lang w:val="en-US"/>
        </w:rPr>
        <w:t>；固定收益类资产投资比例为账户总资产的</w:t>
      </w:r>
      <w:r w:rsidRPr="00B74FE7">
        <w:rPr>
          <w:rFonts w:ascii="Times New Roman" w:eastAsiaTheme="minorEastAsia" w:hAnsiTheme="minorEastAsia"/>
          <w:sz w:val="21"/>
          <w:szCs w:val="21"/>
          <w:lang w:val="en-US"/>
        </w:rPr>
        <w:t>0-80%</w:t>
      </w:r>
      <w:r w:rsidRPr="00B74FE7">
        <w:rPr>
          <w:rFonts w:ascii="Times New Roman" w:eastAsiaTheme="minorEastAsia" w:hAnsiTheme="minorEastAsia" w:hint="eastAsia"/>
          <w:sz w:val="21"/>
          <w:szCs w:val="21"/>
          <w:lang w:val="en-US"/>
        </w:rPr>
        <w:t>；金融产品、基础设施债权投资计划等其它金融资产投资比例为账户总资产的</w:t>
      </w:r>
      <w:r w:rsidRPr="00B74FE7">
        <w:rPr>
          <w:rFonts w:ascii="Times New Roman" w:eastAsiaTheme="minorEastAsia" w:hAnsiTheme="minorEastAsia"/>
          <w:sz w:val="21"/>
          <w:szCs w:val="21"/>
          <w:lang w:val="en-US"/>
        </w:rPr>
        <w:t>0-95%</w:t>
      </w:r>
      <w:r w:rsidR="00CC5E23" w:rsidRPr="00B74FE7">
        <w:rPr>
          <w:rFonts w:ascii="Times New Roman" w:eastAsiaTheme="minorEastAsia" w:hAnsiTheme="minorEastAsia" w:hint="eastAsia"/>
          <w:sz w:val="21"/>
          <w:szCs w:val="21"/>
          <w:lang w:val="en-US"/>
        </w:rPr>
        <w:t>。</w:t>
      </w:r>
      <w:r w:rsidR="00CC5E23" w:rsidRPr="00B74FE7">
        <w:rPr>
          <w:rFonts w:ascii="Times New Roman" w:eastAsiaTheme="minorEastAsia" w:hAnsiTheme="minorEastAsia"/>
          <w:sz w:val="21"/>
          <w:szCs w:val="21"/>
          <w:lang w:val="en-US"/>
        </w:rPr>
        <w:br/>
      </w:r>
      <w:r w:rsidR="00CC5E23" w:rsidRPr="00B74FE7">
        <w:rPr>
          <w:rFonts w:ascii="Times New Roman" w:eastAsiaTheme="minorEastAsia" w:hAnsiTheme="minorEastAsia" w:hint="eastAsia"/>
          <w:sz w:val="21"/>
          <w:szCs w:val="21"/>
        </w:rPr>
        <w:t xml:space="preserve">　　</w:t>
      </w:r>
      <w:r w:rsidR="00CC5E23" w:rsidRPr="00B74FE7">
        <w:rPr>
          <w:rFonts w:ascii="Times New Roman" w:eastAsiaTheme="minorEastAsia" w:hAnsi="Times New Roman"/>
          <w:sz w:val="21"/>
          <w:szCs w:val="21"/>
        </w:rPr>
        <w:t>5</w:t>
      </w:r>
      <w:r w:rsidR="00CC5E23" w:rsidRPr="00B74FE7">
        <w:rPr>
          <w:rFonts w:ascii="Times New Roman" w:eastAsiaTheme="minorEastAsia" w:hAnsiTheme="minorEastAsia" w:hint="eastAsia"/>
          <w:sz w:val="21"/>
          <w:szCs w:val="21"/>
        </w:rPr>
        <w:t>、主要投资风险：市场风险、信用风险、流动性风险及管理操作风险。</w:t>
      </w:r>
    </w:p>
    <w:p w:rsidR="009B5BF8" w:rsidRPr="00532157" w:rsidRDefault="009B5BF8" w:rsidP="00532157">
      <w:pPr>
        <w:pStyle w:val="Default"/>
        <w:spacing w:line="360" w:lineRule="auto"/>
        <w:ind w:firstLineChars="200" w:firstLine="400"/>
        <w:jc w:val="both"/>
        <w:rPr>
          <w:rFonts w:ascii="Times New Roman" w:eastAsiaTheme="minorEastAsia" w:cs="Times New Roman"/>
          <w:sz w:val="20"/>
          <w:szCs w:val="20"/>
        </w:rPr>
      </w:pPr>
    </w:p>
    <w:p w:rsidR="00B249DC" w:rsidRDefault="00B249DC" w:rsidP="00424E6F">
      <w:pPr>
        <w:pStyle w:val="Default"/>
        <w:spacing w:line="360" w:lineRule="auto"/>
        <w:jc w:val="both"/>
        <w:rPr>
          <w:rFonts w:ascii="Times New Roman" w:eastAsiaTheme="minorEastAsia" w:cs="Times New Roman"/>
          <w:b/>
          <w:sz w:val="20"/>
          <w:szCs w:val="20"/>
        </w:rPr>
      </w:pPr>
    </w:p>
    <w:p w:rsidR="00B249DC" w:rsidRDefault="00B249DC" w:rsidP="00424E6F">
      <w:pPr>
        <w:pStyle w:val="Default"/>
        <w:spacing w:line="360" w:lineRule="auto"/>
        <w:jc w:val="both"/>
        <w:rPr>
          <w:rFonts w:ascii="Times New Roman" w:eastAsiaTheme="minorEastAsia" w:cs="Times New Roman"/>
          <w:b/>
          <w:sz w:val="20"/>
          <w:szCs w:val="20"/>
        </w:rPr>
      </w:pPr>
    </w:p>
    <w:p w:rsidR="00B74FE7" w:rsidRDefault="00B74FE7" w:rsidP="00424E6F">
      <w:pPr>
        <w:pStyle w:val="Default"/>
        <w:spacing w:line="360" w:lineRule="auto"/>
        <w:jc w:val="both"/>
        <w:rPr>
          <w:rFonts w:ascii="Times New Roman" w:eastAsiaTheme="minorEastAsia" w:cs="Times New Roman"/>
          <w:b/>
          <w:sz w:val="20"/>
          <w:szCs w:val="20"/>
        </w:rPr>
      </w:pPr>
    </w:p>
    <w:p w:rsidR="00CC5E23" w:rsidRPr="00CC5E23" w:rsidRDefault="00CC5E23" w:rsidP="00CC5E23">
      <w:pPr>
        <w:pStyle w:val="Default"/>
        <w:spacing w:line="360" w:lineRule="auto"/>
        <w:ind w:firstLineChars="196" w:firstLine="413"/>
        <w:jc w:val="both"/>
        <w:rPr>
          <w:rFonts w:ascii="Times New Roman" w:eastAsiaTheme="minorEastAsia" w:cs="Times New Roman"/>
          <w:b/>
          <w:sz w:val="21"/>
          <w:szCs w:val="21"/>
        </w:rPr>
      </w:pPr>
      <w:r w:rsidRPr="00CC5E23">
        <w:rPr>
          <w:rFonts w:ascii="Times New Roman" w:eastAsiaTheme="minorEastAsia" w:hAnsiTheme="minorEastAsia" w:cs="Times New Roman" w:hint="eastAsia"/>
          <w:b/>
          <w:sz w:val="21"/>
          <w:szCs w:val="21"/>
        </w:rPr>
        <w:lastRenderedPageBreak/>
        <w:t>二、业绩情况概览</w:t>
      </w:r>
    </w:p>
    <w:p w:rsidR="00F154AC" w:rsidRPr="001F0A72" w:rsidRDefault="00CC5E23" w:rsidP="00F154AC">
      <w:pPr>
        <w:spacing w:line="360" w:lineRule="auto"/>
        <w:jc w:val="right"/>
        <w:rPr>
          <w:rFonts w:ascii="Times New Roman" w:eastAsiaTheme="minorEastAsia" w:hAnsi="Times New Roman"/>
          <w:sz w:val="21"/>
          <w:szCs w:val="21"/>
          <w:lang w:val="en-US"/>
        </w:rPr>
      </w:pPr>
      <w:r w:rsidRPr="00CC5E23">
        <w:rPr>
          <w:rFonts w:ascii="Times New Roman" w:eastAsiaTheme="minorEastAsia" w:hAnsiTheme="minorEastAsia" w:hint="eastAsia"/>
          <w:sz w:val="21"/>
          <w:szCs w:val="21"/>
          <w:lang w:val="en-US"/>
        </w:rPr>
        <w:t>单位：元</w:t>
      </w:r>
    </w:p>
    <w:tbl>
      <w:tblPr>
        <w:tblW w:w="8396" w:type="dxa"/>
        <w:jc w:val="center"/>
        <w:tblInd w:w="97" w:type="dxa"/>
        <w:tblBorders>
          <w:top w:val="single" w:sz="4" w:space="0" w:color="auto"/>
          <w:bottom w:val="single" w:sz="4" w:space="0" w:color="auto"/>
          <w:insideH w:val="single" w:sz="4" w:space="0" w:color="auto"/>
          <w:insideV w:val="single" w:sz="4" w:space="0" w:color="auto"/>
        </w:tblBorders>
        <w:tblLook w:val="04A0"/>
      </w:tblPr>
      <w:tblGrid>
        <w:gridCol w:w="2283"/>
        <w:gridCol w:w="6113"/>
      </w:tblGrid>
      <w:tr w:rsidR="00B249DC" w:rsidRPr="001F0A72" w:rsidTr="009C62B9">
        <w:trPr>
          <w:trHeight w:val="283"/>
          <w:jc w:val="center"/>
        </w:trPr>
        <w:tc>
          <w:tcPr>
            <w:tcW w:w="2283" w:type="dxa"/>
            <w:shd w:val="clear" w:color="auto" w:fill="auto"/>
            <w:noWrap/>
            <w:vAlign w:val="center"/>
            <w:hideMark/>
          </w:tcPr>
          <w:p w:rsidR="00DD739D" w:rsidRDefault="00CC5E23">
            <w:pPr>
              <w:jc w:val="center"/>
              <w:rPr>
                <w:rFonts w:ascii="Times New Roman" w:eastAsiaTheme="minorEastAsia" w:hAnsi="Times New Roman"/>
                <w:color w:val="000000"/>
                <w:sz w:val="21"/>
                <w:szCs w:val="21"/>
                <w:lang w:val="en-US"/>
              </w:rPr>
            </w:pPr>
            <w:r w:rsidRPr="00CC5E23">
              <w:rPr>
                <w:rFonts w:ascii="Times New Roman" w:eastAsiaTheme="minorEastAsia" w:hAnsiTheme="minorEastAsia" w:hint="eastAsia"/>
                <w:color w:val="000000"/>
                <w:sz w:val="21"/>
                <w:szCs w:val="21"/>
                <w:lang w:val="en-US"/>
              </w:rPr>
              <w:t>资产评估日</w:t>
            </w:r>
          </w:p>
        </w:tc>
        <w:tc>
          <w:tcPr>
            <w:tcW w:w="6113" w:type="dxa"/>
            <w:shd w:val="clear" w:color="auto" w:fill="auto"/>
            <w:noWrap/>
            <w:vAlign w:val="center"/>
            <w:hideMark/>
          </w:tcPr>
          <w:p w:rsidR="00DD739D" w:rsidRDefault="00CC5E23">
            <w:pPr>
              <w:jc w:val="center"/>
              <w:rPr>
                <w:rFonts w:ascii="Times New Roman" w:eastAsiaTheme="minorEastAsia" w:hAnsi="Times New Roman"/>
                <w:color w:val="000000"/>
                <w:sz w:val="21"/>
                <w:szCs w:val="21"/>
                <w:lang w:val="en-US"/>
              </w:rPr>
            </w:pPr>
            <w:r w:rsidRPr="00CC5E23">
              <w:rPr>
                <w:rFonts w:ascii="Times New Roman" w:eastAsiaTheme="minorEastAsia" w:hAnsiTheme="minorEastAsia" w:hint="eastAsia"/>
                <w:color w:val="000000"/>
                <w:sz w:val="21"/>
                <w:szCs w:val="21"/>
                <w:lang w:val="en-US"/>
              </w:rPr>
              <w:t>国华</w:t>
            </w:r>
            <w:r w:rsidR="004E4A68">
              <w:rPr>
                <w:rFonts w:ascii="Times New Roman" w:eastAsiaTheme="minorEastAsia" w:hAnsiTheme="minorEastAsia" w:hint="eastAsia"/>
                <w:color w:val="000000"/>
                <w:sz w:val="21"/>
                <w:szCs w:val="21"/>
                <w:lang w:val="en-US"/>
              </w:rPr>
              <w:t>稳健</w:t>
            </w:r>
            <w:r w:rsidRPr="00CC5E23">
              <w:rPr>
                <w:rFonts w:ascii="Times New Roman" w:eastAsiaTheme="minorEastAsia" w:hAnsiTheme="minorEastAsia" w:hint="eastAsia"/>
                <w:color w:val="000000"/>
                <w:sz w:val="21"/>
                <w:szCs w:val="21"/>
                <w:lang w:val="en-US"/>
              </w:rPr>
              <w:t>型投资账户卖出价格</w:t>
            </w:r>
          </w:p>
        </w:tc>
      </w:tr>
      <w:tr w:rsidR="0080372A" w:rsidRPr="001F0A72" w:rsidTr="009C62B9">
        <w:trPr>
          <w:trHeight w:val="299"/>
          <w:jc w:val="center"/>
        </w:trPr>
        <w:tc>
          <w:tcPr>
            <w:tcW w:w="2283" w:type="dxa"/>
            <w:shd w:val="clear" w:color="auto" w:fill="auto"/>
            <w:noWrap/>
            <w:vAlign w:val="center"/>
            <w:hideMark/>
          </w:tcPr>
          <w:p w:rsidR="0080372A" w:rsidRPr="001F0A72" w:rsidRDefault="0080372A" w:rsidP="00B249DC">
            <w:pPr>
              <w:jc w:val="center"/>
              <w:rPr>
                <w:rFonts w:ascii="Times New Roman" w:eastAsiaTheme="minorEastAsia" w:hAnsi="Times New Roman"/>
                <w:color w:val="000000"/>
                <w:sz w:val="21"/>
                <w:szCs w:val="21"/>
                <w:lang w:val="en-US"/>
              </w:rPr>
            </w:pPr>
            <w:r w:rsidRPr="00CC5E23">
              <w:rPr>
                <w:rFonts w:ascii="Times New Roman" w:eastAsiaTheme="minorEastAsia" w:hAnsi="Times New Roman"/>
                <w:color w:val="000000"/>
                <w:sz w:val="21"/>
                <w:szCs w:val="21"/>
                <w:lang w:val="en-US"/>
              </w:rPr>
              <w:t>2014-5-31</w:t>
            </w:r>
          </w:p>
        </w:tc>
        <w:tc>
          <w:tcPr>
            <w:tcW w:w="6113" w:type="dxa"/>
            <w:shd w:val="clear" w:color="auto" w:fill="auto"/>
            <w:noWrap/>
            <w:vAlign w:val="center"/>
            <w:hideMark/>
          </w:tcPr>
          <w:p w:rsidR="0080372A" w:rsidRPr="001F0A72" w:rsidRDefault="0080372A" w:rsidP="0080372A">
            <w:pPr>
              <w:jc w:val="center"/>
              <w:rPr>
                <w:rFonts w:ascii="Times New Roman" w:eastAsiaTheme="minorEastAsia" w:hAnsi="Times New Roman"/>
                <w:color w:val="000000"/>
                <w:sz w:val="21"/>
                <w:szCs w:val="21"/>
                <w:lang w:val="en-US"/>
              </w:rPr>
            </w:pPr>
            <w:r w:rsidRPr="00CC5E23">
              <w:rPr>
                <w:rFonts w:ascii="Times New Roman" w:eastAsiaTheme="minorEastAsia" w:hAnsi="Times New Roman"/>
                <w:color w:val="000000"/>
                <w:sz w:val="21"/>
                <w:szCs w:val="21"/>
                <w:lang w:val="en-US"/>
              </w:rPr>
              <w:t>1.0</w:t>
            </w:r>
            <w:r>
              <w:rPr>
                <w:rFonts w:ascii="Times New Roman" w:eastAsiaTheme="minorEastAsia" w:hAnsi="Times New Roman" w:hint="eastAsia"/>
                <w:color w:val="000000"/>
                <w:sz w:val="21"/>
                <w:szCs w:val="21"/>
                <w:lang w:val="en-US"/>
              </w:rPr>
              <w:t>0057528</w:t>
            </w:r>
          </w:p>
        </w:tc>
      </w:tr>
      <w:tr w:rsidR="0080372A" w:rsidRPr="001F0A72" w:rsidTr="009C62B9">
        <w:trPr>
          <w:trHeight w:val="299"/>
          <w:jc w:val="center"/>
        </w:trPr>
        <w:tc>
          <w:tcPr>
            <w:tcW w:w="2283" w:type="dxa"/>
            <w:shd w:val="clear" w:color="auto" w:fill="auto"/>
            <w:noWrap/>
            <w:vAlign w:val="center"/>
            <w:hideMark/>
          </w:tcPr>
          <w:p w:rsidR="0080372A" w:rsidRPr="001F0A72" w:rsidRDefault="0080372A" w:rsidP="00B249DC">
            <w:pPr>
              <w:jc w:val="center"/>
              <w:rPr>
                <w:rFonts w:ascii="Times New Roman" w:eastAsiaTheme="minorEastAsia" w:hAnsi="Times New Roman"/>
                <w:color w:val="000000"/>
                <w:sz w:val="21"/>
                <w:szCs w:val="21"/>
                <w:lang w:val="en-US"/>
              </w:rPr>
            </w:pPr>
            <w:r w:rsidRPr="00CC5E23">
              <w:rPr>
                <w:rFonts w:ascii="Times New Roman" w:eastAsiaTheme="minorEastAsia" w:hAnsi="Times New Roman"/>
                <w:color w:val="000000"/>
                <w:sz w:val="21"/>
                <w:szCs w:val="21"/>
                <w:lang w:val="en-US"/>
              </w:rPr>
              <w:t>2014-6-30</w:t>
            </w:r>
          </w:p>
        </w:tc>
        <w:tc>
          <w:tcPr>
            <w:tcW w:w="6113" w:type="dxa"/>
            <w:shd w:val="clear" w:color="auto" w:fill="auto"/>
            <w:noWrap/>
            <w:vAlign w:val="center"/>
            <w:hideMark/>
          </w:tcPr>
          <w:p w:rsidR="0080372A" w:rsidRPr="001F0A72" w:rsidRDefault="0080372A" w:rsidP="0080372A">
            <w:pPr>
              <w:jc w:val="center"/>
              <w:rPr>
                <w:rFonts w:ascii="Times New Roman" w:eastAsiaTheme="minorEastAsia" w:hAnsi="Times New Roman"/>
                <w:color w:val="000000"/>
                <w:sz w:val="21"/>
                <w:szCs w:val="21"/>
                <w:lang w:val="en-US"/>
              </w:rPr>
            </w:pPr>
            <w:r w:rsidRPr="00CC5E23">
              <w:rPr>
                <w:rFonts w:ascii="Times New Roman" w:eastAsiaTheme="minorEastAsia" w:hAnsi="Times New Roman"/>
                <w:color w:val="000000"/>
                <w:sz w:val="21"/>
                <w:szCs w:val="21"/>
                <w:lang w:val="en-US"/>
              </w:rPr>
              <w:t>1.0</w:t>
            </w:r>
            <w:r>
              <w:rPr>
                <w:rFonts w:ascii="Times New Roman" w:eastAsiaTheme="minorEastAsia" w:hAnsi="Times New Roman" w:hint="eastAsia"/>
                <w:color w:val="000000"/>
                <w:sz w:val="21"/>
                <w:szCs w:val="21"/>
                <w:lang w:val="en-US"/>
              </w:rPr>
              <w:t>0648498</w:t>
            </w:r>
          </w:p>
        </w:tc>
      </w:tr>
      <w:tr w:rsidR="0080372A" w:rsidRPr="001F0A72" w:rsidTr="009C62B9">
        <w:trPr>
          <w:trHeight w:val="299"/>
          <w:jc w:val="center"/>
        </w:trPr>
        <w:tc>
          <w:tcPr>
            <w:tcW w:w="2283" w:type="dxa"/>
            <w:shd w:val="clear" w:color="auto" w:fill="auto"/>
            <w:noWrap/>
            <w:vAlign w:val="center"/>
            <w:hideMark/>
          </w:tcPr>
          <w:p w:rsidR="0080372A" w:rsidRPr="001F0A72" w:rsidRDefault="0080372A" w:rsidP="00B249DC">
            <w:pPr>
              <w:jc w:val="center"/>
              <w:rPr>
                <w:rFonts w:ascii="Times New Roman" w:eastAsiaTheme="minorEastAsia" w:hAnsi="Times New Roman"/>
                <w:color w:val="000000"/>
                <w:sz w:val="21"/>
                <w:szCs w:val="21"/>
                <w:lang w:val="en-US"/>
              </w:rPr>
            </w:pPr>
            <w:r w:rsidRPr="00CC5E23">
              <w:rPr>
                <w:rFonts w:ascii="Times New Roman" w:eastAsiaTheme="minorEastAsia" w:hAnsi="Times New Roman"/>
                <w:color w:val="000000"/>
                <w:sz w:val="21"/>
                <w:szCs w:val="21"/>
                <w:lang w:val="en-US"/>
              </w:rPr>
              <w:t>2014-9-30</w:t>
            </w:r>
          </w:p>
        </w:tc>
        <w:tc>
          <w:tcPr>
            <w:tcW w:w="6113" w:type="dxa"/>
            <w:shd w:val="clear" w:color="auto" w:fill="auto"/>
            <w:noWrap/>
            <w:vAlign w:val="center"/>
            <w:hideMark/>
          </w:tcPr>
          <w:p w:rsidR="0080372A" w:rsidRPr="001F0A72" w:rsidRDefault="0080372A" w:rsidP="0080372A">
            <w:pPr>
              <w:jc w:val="center"/>
              <w:rPr>
                <w:rFonts w:ascii="Times New Roman" w:eastAsiaTheme="minorEastAsia" w:hAnsi="Times New Roman"/>
                <w:color w:val="000000"/>
                <w:sz w:val="21"/>
                <w:szCs w:val="21"/>
                <w:lang w:val="en-US"/>
              </w:rPr>
            </w:pPr>
            <w:r w:rsidRPr="00CC5E23">
              <w:rPr>
                <w:rFonts w:ascii="Times New Roman" w:eastAsiaTheme="minorEastAsia" w:hAnsi="Times New Roman"/>
                <w:color w:val="000000"/>
                <w:sz w:val="21"/>
                <w:szCs w:val="21"/>
                <w:lang w:val="en-US"/>
              </w:rPr>
              <w:t>1.0</w:t>
            </w:r>
            <w:r>
              <w:rPr>
                <w:rFonts w:ascii="Times New Roman" w:eastAsiaTheme="minorEastAsia" w:hAnsi="Times New Roman" w:hint="eastAsia"/>
                <w:color w:val="000000"/>
                <w:sz w:val="21"/>
                <w:szCs w:val="21"/>
                <w:lang w:val="en-US"/>
              </w:rPr>
              <w:t>2519423</w:t>
            </w:r>
          </w:p>
        </w:tc>
      </w:tr>
      <w:tr w:rsidR="00DE3DC8" w:rsidRPr="001F0A72" w:rsidTr="009C62B9">
        <w:trPr>
          <w:trHeight w:val="299"/>
          <w:jc w:val="center"/>
        </w:trPr>
        <w:tc>
          <w:tcPr>
            <w:tcW w:w="2283" w:type="dxa"/>
            <w:shd w:val="clear" w:color="auto" w:fill="auto"/>
            <w:noWrap/>
            <w:vAlign w:val="center"/>
            <w:hideMark/>
          </w:tcPr>
          <w:p w:rsidR="00DE3DC8" w:rsidRPr="00CC5E23" w:rsidRDefault="00DE3DC8" w:rsidP="00B249DC">
            <w:pPr>
              <w:jc w:val="center"/>
              <w:rPr>
                <w:rFonts w:ascii="Times New Roman" w:eastAsiaTheme="minorEastAsia" w:hAnsi="Times New Roman"/>
                <w:color w:val="000000"/>
                <w:sz w:val="21"/>
                <w:szCs w:val="21"/>
                <w:lang w:val="en-US"/>
              </w:rPr>
            </w:pPr>
            <w:r>
              <w:rPr>
                <w:rFonts w:ascii="Times New Roman" w:eastAsiaTheme="minorEastAsia" w:hAnsi="Times New Roman" w:hint="eastAsia"/>
                <w:color w:val="000000"/>
                <w:sz w:val="21"/>
                <w:szCs w:val="21"/>
                <w:lang w:val="en-US"/>
              </w:rPr>
              <w:t>2014-12-31</w:t>
            </w:r>
          </w:p>
        </w:tc>
        <w:tc>
          <w:tcPr>
            <w:tcW w:w="6113" w:type="dxa"/>
            <w:shd w:val="clear" w:color="auto" w:fill="auto"/>
            <w:noWrap/>
            <w:vAlign w:val="center"/>
            <w:hideMark/>
          </w:tcPr>
          <w:p w:rsidR="00DE3DC8" w:rsidRPr="00CC5E23" w:rsidRDefault="00DE3DC8" w:rsidP="0080372A">
            <w:pPr>
              <w:jc w:val="center"/>
              <w:rPr>
                <w:rFonts w:ascii="Times New Roman" w:eastAsiaTheme="minorEastAsia" w:hAnsi="Times New Roman"/>
                <w:color w:val="000000"/>
                <w:sz w:val="21"/>
                <w:szCs w:val="21"/>
                <w:lang w:val="en-US"/>
              </w:rPr>
            </w:pPr>
            <w:r>
              <w:rPr>
                <w:rFonts w:ascii="Times New Roman" w:eastAsiaTheme="minorEastAsia" w:hAnsi="Times New Roman" w:hint="eastAsia"/>
                <w:color w:val="000000"/>
                <w:sz w:val="21"/>
                <w:szCs w:val="21"/>
                <w:lang w:val="en-US"/>
              </w:rPr>
              <w:t>1.04421850</w:t>
            </w:r>
          </w:p>
        </w:tc>
      </w:tr>
      <w:tr w:rsidR="00B868C5" w:rsidRPr="001F0A72" w:rsidTr="00DD50D8">
        <w:trPr>
          <w:trHeight w:val="299"/>
          <w:jc w:val="center"/>
        </w:trPr>
        <w:tc>
          <w:tcPr>
            <w:tcW w:w="2283" w:type="dxa"/>
            <w:shd w:val="clear" w:color="auto" w:fill="auto"/>
            <w:noWrap/>
            <w:vAlign w:val="bottom"/>
            <w:hideMark/>
          </w:tcPr>
          <w:p w:rsidR="00B868C5" w:rsidRPr="00B868C5" w:rsidRDefault="00B868C5" w:rsidP="00B868C5">
            <w:pPr>
              <w:jc w:val="center"/>
              <w:rPr>
                <w:rFonts w:ascii="Times New Roman" w:eastAsiaTheme="minorEastAsia" w:hAnsi="Times New Roman"/>
                <w:color w:val="000000"/>
                <w:sz w:val="21"/>
                <w:szCs w:val="21"/>
                <w:lang w:val="en-US"/>
              </w:rPr>
            </w:pPr>
            <w:r w:rsidRPr="00B868C5">
              <w:rPr>
                <w:rFonts w:ascii="Times New Roman" w:eastAsiaTheme="minorEastAsia" w:hAnsi="Times New Roman" w:hint="eastAsia"/>
                <w:color w:val="000000"/>
                <w:sz w:val="21"/>
                <w:szCs w:val="21"/>
                <w:lang w:val="en-US"/>
              </w:rPr>
              <w:t>2015-3-31</w:t>
            </w:r>
          </w:p>
        </w:tc>
        <w:tc>
          <w:tcPr>
            <w:tcW w:w="6113" w:type="dxa"/>
            <w:shd w:val="clear" w:color="auto" w:fill="auto"/>
            <w:noWrap/>
            <w:vAlign w:val="center"/>
            <w:hideMark/>
          </w:tcPr>
          <w:p w:rsidR="00B868C5" w:rsidRPr="00B868C5" w:rsidRDefault="00B868C5" w:rsidP="00B868C5">
            <w:pPr>
              <w:jc w:val="center"/>
              <w:rPr>
                <w:rFonts w:ascii="Times New Roman" w:eastAsiaTheme="minorEastAsia" w:hAnsi="Times New Roman"/>
                <w:color w:val="000000"/>
                <w:sz w:val="21"/>
                <w:szCs w:val="21"/>
                <w:lang w:val="en-US"/>
              </w:rPr>
            </w:pPr>
            <w:r w:rsidRPr="00B868C5">
              <w:rPr>
                <w:rFonts w:ascii="Times New Roman" w:eastAsiaTheme="minorEastAsia" w:hAnsi="Times New Roman" w:hint="eastAsia"/>
                <w:color w:val="000000"/>
                <w:sz w:val="21"/>
                <w:szCs w:val="21"/>
                <w:lang w:val="en-US"/>
              </w:rPr>
              <w:t>1.06271261</w:t>
            </w:r>
          </w:p>
        </w:tc>
      </w:tr>
      <w:tr w:rsidR="00B868C5" w:rsidRPr="001F0A72" w:rsidTr="00DD50D8">
        <w:trPr>
          <w:trHeight w:val="299"/>
          <w:jc w:val="center"/>
        </w:trPr>
        <w:tc>
          <w:tcPr>
            <w:tcW w:w="2283" w:type="dxa"/>
            <w:shd w:val="clear" w:color="auto" w:fill="auto"/>
            <w:noWrap/>
            <w:vAlign w:val="bottom"/>
            <w:hideMark/>
          </w:tcPr>
          <w:p w:rsidR="00B868C5" w:rsidRPr="00B868C5" w:rsidRDefault="00B868C5" w:rsidP="00B868C5">
            <w:pPr>
              <w:jc w:val="center"/>
              <w:rPr>
                <w:rFonts w:ascii="Times New Roman" w:eastAsiaTheme="minorEastAsia" w:hAnsi="Times New Roman"/>
                <w:color w:val="000000"/>
                <w:sz w:val="21"/>
                <w:szCs w:val="21"/>
                <w:lang w:val="en-US"/>
              </w:rPr>
            </w:pPr>
            <w:r w:rsidRPr="00B868C5">
              <w:rPr>
                <w:rFonts w:ascii="Times New Roman" w:eastAsiaTheme="minorEastAsia" w:hAnsi="Times New Roman" w:hint="eastAsia"/>
                <w:color w:val="000000"/>
                <w:sz w:val="21"/>
                <w:szCs w:val="21"/>
                <w:lang w:val="en-US"/>
              </w:rPr>
              <w:t>2015-6-30</w:t>
            </w:r>
          </w:p>
        </w:tc>
        <w:tc>
          <w:tcPr>
            <w:tcW w:w="6113" w:type="dxa"/>
            <w:shd w:val="clear" w:color="auto" w:fill="auto"/>
            <w:noWrap/>
            <w:vAlign w:val="center"/>
            <w:hideMark/>
          </w:tcPr>
          <w:p w:rsidR="00B868C5" w:rsidRPr="00B868C5" w:rsidRDefault="00B868C5" w:rsidP="00B868C5">
            <w:pPr>
              <w:jc w:val="center"/>
              <w:rPr>
                <w:rFonts w:ascii="Times New Roman" w:eastAsiaTheme="minorEastAsia" w:hAnsi="Times New Roman"/>
                <w:color w:val="000000"/>
                <w:sz w:val="21"/>
                <w:szCs w:val="21"/>
                <w:lang w:val="en-US"/>
              </w:rPr>
            </w:pPr>
            <w:r w:rsidRPr="00B868C5">
              <w:rPr>
                <w:rFonts w:ascii="Times New Roman" w:eastAsiaTheme="minorEastAsia" w:hAnsi="Times New Roman" w:hint="eastAsia"/>
                <w:color w:val="000000"/>
                <w:sz w:val="21"/>
                <w:szCs w:val="21"/>
                <w:lang w:val="en-US"/>
              </w:rPr>
              <w:t>1.08122791</w:t>
            </w:r>
          </w:p>
        </w:tc>
      </w:tr>
    </w:tbl>
    <w:p w:rsidR="00DD739D" w:rsidRDefault="007655D7">
      <w:pPr>
        <w:pStyle w:val="Default"/>
        <w:spacing w:line="360" w:lineRule="auto"/>
        <w:contextualSpacing/>
        <w:rPr>
          <w:rFonts w:ascii="Times New Roman" w:eastAsiaTheme="minorEastAsia" w:cs="Times New Roman"/>
          <w:sz w:val="21"/>
          <w:szCs w:val="21"/>
        </w:rPr>
      </w:pPr>
      <w:r>
        <w:rPr>
          <w:rFonts w:ascii="Times New Roman" w:eastAsiaTheme="minorEastAsia" w:hAnsiTheme="minorEastAsia" w:cs="Times New Roman" w:hint="eastAsia"/>
          <w:sz w:val="21"/>
          <w:szCs w:val="21"/>
        </w:rPr>
        <w:t xml:space="preserve">    </w:t>
      </w:r>
      <w:r w:rsidR="00CC5E23" w:rsidRPr="00CC5E23">
        <w:rPr>
          <w:rFonts w:ascii="Times New Roman" w:eastAsiaTheme="minorEastAsia" w:hAnsiTheme="minorEastAsia" w:cs="Times New Roman" w:hint="eastAsia"/>
          <w:sz w:val="21"/>
          <w:szCs w:val="21"/>
        </w:rPr>
        <w:t>国华</w:t>
      </w:r>
      <w:r w:rsidR="004E4A68">
        <w:rPr>
          <w:rFonts w:ascii="Times New Roman" w:eastAsiaTheme="minorEastAsia" w:hAnsiTheme="minorEastAsia" w:cs="Times New Roman" w:hint="eastAsia"/>
          <w:sz w:val="21"/>
          <w:szCs w:val="21"/>
        </w:rPr>
        <w:t>稳健</w:t>
      </w:r>
      <w:r w:rsidR="00CC5E23" w:rsidRPr="00CC5E23">
        <w:rPr>
          <w:rFonts w:ascii="Times New Roman" w:eastAsiaTheme="minorEastAsia" w:hAnsiTheme="minorEastAsia" w:cs="Times New Roman" w:hint="eastAsia"/>
          <w:sz w:val="21"/>
          <w:szCs w:val="21"/>
        </w:rPr>
        <w:t>型投资账户的买入价等于卖出价。</w:t>
      </w:r>
    </w:p>
    <w:tbl>
      <w:tblPr>
        <w:tblW w:w="8367" w:type="dxa"/>
        <w:tblInd w:w="97" w:type="dxa"/>
        <w:tblBorders>
          <w:top w:val="single" w:sz="4" w:space="0" w:color="auto"/>
          <w:bottom w:val="single" w:sz="4" w:space="0" w:color="auto"/>
          <w:insideH w:val="single" w:sz="4" w:space="0" w:color="auto"/>
          <w:insideV w:val="single" w:sz="4" w:space="0" w:color="auto"/>
        </w:tblBorders>
        <w:tblLook w:val="04A0"/>
      </w:tblPr>
      <w:tblGrid>
        <w:gridCol w:w="2275"/>
        <w:gridCol w:w="6092"/>
      </w:tblGrid>
      <w:tr w:rsidR="000E6389" w:rsidRPr="001F0A72" w:rsidTr="009C62B9">
        <w:trPr>
          <w:trHeight w:val="279"/>
        </w:trPr>
        <w:tc>
          <w:tcPr>
            <w:tcW w:w="2275" w:type="dxa"/>
            <w:shd w:val="clear" w:color="auto" w:fill="auto"/>
            <w:noWrap/>
            <w:vAlign w:val="center"/>
            <w:hideMark/>
          </w:tcPr>
          <w:p w:rsidR="000E6389" w:rsidRPr="001F0A72" w:rsidRDefault="00CC5E23" w:rsidP="000E6389">
            <w:pPr>
              <w:jc w:val="center"/>
              <w:rPr>
                <w:rFonts w:ascii="Times New Roman" w:eastAsiaTheme="minorEastAsia" w:hAnsi="Times New Roman"/>
                <w:color w:val="000000"/>
                <w:sz w:val="21"/>
                <w:szCs w:val="21"/>
                <w:lang w:val="en-US"/>
              </w:rPr>
            </w:pPr>
            <w:r w:rsidRPr="00CC5E23">
              <w:rPr>
                <w:rFonts w:ascii="Times New Roman" w:eastAsiaTheme="minorEastAsia" w:hAnsiTheme="minorEastAsia" w:hint="eastAsia"/>
                <w:color w:val="000000"/>
                <w:sz w:val="21"/>
                <w:szCs w:val="21"/>
                <w:lang w:val="en-US"/>
              </w:rPr>
              <w:t>期间</w:t>
            </w:r>
          </w:p>
        </w:tc>
        <w:tc>
          <w:tcPr>
            <w:tcW w:w="6092" w:type="dxa"/>
            <w:shd w:val="clear" w:color="auto" w:fill="auto"/>
            <w:noWrap/>
            <w:vAlign w:val="center"/>
            <w:hideMark/>
          </w:tcPr>
          <w:p w:rsidR="000E6389" w:rsidRPr="001F0A72" w:rsidRDefault="00CC5E23" w:rsidP="000E6389">
            <w:pPr>
              <w:jc w:val="center"/>
              <w:rPr>
                <w:rFonts w:ascii="Times New Roman" w:eastAsiaTheme="minorEastAsia" w:hAnsi="Times New Roman"/>
                <w:color w:val="000000"/>
                <w:sz w:val="21"/>
                <w:szCs w:val="21"/>
                <w:lang w:val="en-US"/>
              </w:rPr>
            </w:pPr>
            <w:r w:rsidRPr="00CC5E23">
              <w:rPr>
                <w:rFonts w:ascii="Times New Roman" w:eastAsiaTheme="minorEastAsia" w:hAnsiTheme="minorEastAsia" w:hint="eastAsia"/>
                <w:color w:val="000000"/>
                <w:sz w:val="21"/>
                <w:szCs w:val="21"/>
                <w:lang w:val="en-US"/>
              </w:rPr>
              <w:t>净值增长率（年化）</w:t>
            </w:r>
          </w:p>
        </w:tc>
      </w:tr>
      <w:tr w:rsidR="006374F3" w:rsidRPr="001F0A72" w:rsidTr="009C62B9">
        <w:trPr>
          <w:trHeight w:val="294"/>
        </w:trPr>
        <w:tc>
          <w:tcPr>
            <w:tcW w:w="2275" w:type="dxa"/>
            <w:shd w:val="clear" w:color="auto" w:fill="auto"/>
            <w:noWrap/>
            <w:vAlign w:val="center"/>
            <w:hideMark/>
          </w:tcPr>
          <w:p w:rsidR="006374F3" w:rsidRPr="00CC5E23" w:rsidRDefault="006374F3" w:rsidP="000E6389">
            <w:pPr>
              <w:jc w:val="center"/>
              <w:rPr>
                <w:rFonts w:ascii="Times New Roman" w:eastAsiaTheme="minorEastAsia" w:hAnsi="Times New Roman"/>
                <w:color w:val="000000"/>
                <w:sz w:val="21"/>
                <w:szCs w:val="21"/>
              </w:rPr>
            </w:pPr>
            <w:r w:rsidRPr="00CC5E23">
              <w:rPr>
                <w:rFonts w:ascii="Times New Roman" w:eastAsiaTheme="minorEastAsia" w:hAnsi="Times New Roman"/>
                <w:color w:val="000000"/>
                <w:sz w:val="21"/>
                <w:szCs w:val="21"/>
              </w:rPr>
              <w:t>2014-0</w:t>
            </w:r>
            <w:r>
              <w:rPr>
                <w:rFonts w:ascii="Times New Roman" w:eastAsiaTheme="minorEastAsia" w:hAnsi="Times New Roman" w:hint="eastAsia"/>
                <w:color w:val="000000"/>
                <w:sz w:val="21"/>
                <w:szCs w:val="21"/>
              </w:rPr>
              <w:t>5</w:t>
            </w:r>
          </w:p>
        </w:tc>
        <w:tc>
          <w:tcPr>
            <w:tcW w:w="6092" w:type="dxa"/>
            <w:shd w:val="clear" w:color="auto" w:fill="auto"/>
            <w:noWrap/>
            <w:vAlign w:val="center"/>
            <w:hideMark/>
          </w:tcPr>
          <w:p w:rsidR="006374F3" w:rsidRPr="006374F3" w:rsidRDefault="006374F3" w:rsidP="006374F3">
            <w:pPr>
              <w:jc w:val="center"/>
              <w:rPr>
                <w:rFonts w:ascii="Times New Roman" w:eastAsiaTheme="minorEastAsia" w:hAnsi="Times New Roman"/>
                <w:color w:val="000000"/>
                <w:sz w:val="21"/>
                <w:szCs w:val="21"/>
                <w:lang w:val="en-US"/>
              </w:rPr>
            </w:pPr>
            <w:r w:rsidRPr="006374F3">
              <w:rPr>
                <w:rFonts w:ascii="Times New Roman" w:eastAsiaTheme="minorEastAsia" w:hAnsi="Times New Roman" w:hint="eastAsia"/>
                <w:color w:val="000000"/>
                <w:sz w:val="21"/>
                <w:szCs w:val="21"/>
                <w:lang w:val="en-US"/>
              </w:rPr>
              <w:t>7.00%</w:t>
            </w:r>
          </w:p>
        </w:tc>
      </w:tr>
      <w:tr w:rsidR="006374F3" w:rsidRPr="001F0A72" w:rsidTr="009C62B9">
        <w:trPr>
          <w:trHeight w:val="294"/>
        </w:trPr>
        <w:tc>
          <w:tcPr>
            <w:tcW w:w="2275" w:type="dxa"/>
            <w:shd w:val="clear" w:color="auto" w:fill="auto"/>
            <w:noWrap/>
            <w:vAlign w:val="center"/>
            <w:hideMark/>
          </w:tcPr>
          <w:p w:rsidR="006374F3" w:rsidRPr="001F0A72" w:rsidRDefault="006374F3" w:rsidP="000E6389">
            <w:pPr>
              <w:jc w:val="center"/>
              <w:rPr>
                <w:rFonts w:ascii="Times New Roman" w:eastAsiaTheme="minorEastAsia" w:hAnsi="Times New Roman"/>
                <w:color w:val="000000"/>
                <w:sz w:val="21"/>
                <w:szCs w:val="21"/>
                <w:lang w:val="en-US"/>
              </w:rPr>
            </w:pPr>
            <w:r w:rsidRPr="00CC5E23">
              <w:rPr>
                <w:rFonts w:ascii="Times New Roman" w:eastAsiaTheme="minorEastAsia" w:hAnsi="Times New Roman"/>
                <w:color w:val="000000"/>
                <w:sz w:val="21"/>
                <w:szCs w:val="21"/>
              </w:rPr>
              <w:t>2014-06</w:t>
            </w:r>
          </w:p>
        </w:tc>
        <w:tc>
          <w:tcPr>
            <w:tcW w:w="6092" w:type="dxa"/>
            <w:shd w:val="clear" w:color="auto" w:fill="auto"/>
            <w:noWrap/>
            <w:vAlign w:val="center"/>
            <w:hideMark/>
          </w:tcPr>
          <w:p w:rsidR="006374F3" w:rsidRPr="006374F3" w:rsidRDefault="006374F3" w:rsidP="006374F3">
            <w:pPr>
              <w:jc w:val="center"/>
              <w:rPr>
                <w:rFonts w:ascii="Times New Roman" w:eastAsiaTheme="minorEastAsia" w:hAnsi="Times New Roman"/>
                <w:color w:val="000000"/>
                <w:sz w:val="21"/>
                <w:szCs w:val="21"/>
                <w:lang w:val="en-US"/>
              </w:rPr>
            </w:pPr>
            <w:r w:rsidRPr="006374F3">
              <w:rPr>
                <w:rFonts w:ascii="Times New Roman" w:eastAsiaTheme="minorEastAsia" w:hAnsi="Times New Roman" w:hint="eastAsia"/>
                <w:color w:val="000000"/>
                <w:sz w:val="21"/>
                <w:szCs w:val="21"/>
                <w:lang w:val="en-US"/>
              </w:rPr>
              <w:t>7.19%</w:t>
            </w:r>
          </w:p>
        </w:tc>
      </w:tr>
      <w:tr w:rsidR="006374F3" w:rsidRPr="001F0A72" w:rsidTr="009C62B9">
        <w:trPr>
          <w:trHeight w:val="294"/>
        </w:trPr>
        <w:tc>
          <w:tcPr>
            <w:tcW w:w="2275" w:type="dxa"/>
            <w:shd w:val="clear" w:color="auto" w:fill="auto"/>
            <w:noWrap/>
            <w:vAlign w:val="center"/>
            <w:hideMark/>
          </w:tcPr>
          <w:p w:rsidR="006374F3" w:rsidRPr="001F0A72" w:rsidRDefault="006374F3" w:rsidP="000E6389">
            <w:pPr>
              <w:jc w:val="center"/>
              <w:rPr>
                <w:rFonts w:ascii="Times New Roman" w:eastAsiaTheme="minorEastAsia" w:hAnsi="Times New Roman"/>
                <w:color w:val="000000"/>
                <w:sz w:val="21"/>
                <w:szCs w:val="21"/>
                <w:lang w:val="en-US"/>
              </w:rPr>
            </w:pPr>
            <w:r w:rsidRPr="00CC5E23">
              <w:rPr>
                <w:rFonts w:ascii="Times New Roman" w:eastAsiaTheme="minorEastAsia" w:hAnsi="Times New Roman"/>
                <w:color w:val="000000"/>
                <w:sz w:val="21"/>
                <w:szCs w:val="21"/>
                <w:lang w:val="en-US"/>
              </w:rPr>
              <w:t>2014-09</w:t>
            </w:r>
          </w:p>
        </w:tc>
        <w:tc>
          <w:tcPr>
            <w:tcW w:w="6092" w:type="dxa"/>
            <w:shd w:val="clear" w:color="auto" w:fill="auto"/>
            <w:noWrap/>
            <w:vAlign w:val="center"/>
            <w:hideMark/>
          </w:tcPr>
          <w:p w:rsidR="006374F3" w:rsidRPr="006374F3" w:rsidRDefault="006374F3" w:rsidP="006374F3">
            <w:pPr>
              <w:jc w:val="center"/>
              <w:rPr>
                <w:rFonts w:ascii="Times New Roman" w:eastAsiaTheme="minorEastAsia" w:hAnsi="Times New Roman"/>
                <w:color w:val="000000"/>
                <w:sz w:val="21"/>
                <w:szCs w:val="21"/>
                <w:lang w:val="en-US"/>
              </w:rPr>
            </w:pPr>
            <w:r w:rsidRPr="006374F3">
              <w:rPr>
                <w:rFonts w:ascii="Times New Roman" w:eastAsiaTheme="minorEastAsia" w:hAnsi="Times New Roman" w:hint="eastAsia"/>
                <w:color w:val="000000"/>
                <w:sz w:val="21"/>
                <w:szCs w:val="21"/>
                <w:lang w:val="en-US"/>
              </w:rPr>
              <w:t>7.37%</w:t>
            </w:r>
          </w:p>
        </w:tc>
      </w:tr>
      <w:tr w:rsidR="006374F3" w:rsidRPr="001F0A72" w:rsidTr="009C62B9">
        <w:trPr>
          <w:trHeight w:val="294"/>
        </w:trPr>
        <w:tc>
          <w:tcPr>
            <w:tcW w:w="2275" w:type="dxa"/>
            <w:shd w:val="clear" w:color="auto" w:fill="auto"/>
            <w:noWrap/>
            <w:vAlign w:val="center"/>
            <w:hideMark/>
          </w:tcPr>
          <w:p w:rsidR="006374F3" w:rsidRPr="00CC5E23" w:rsidRDefault="006374F3" w:rsidP="000E6389">
            <w:pPr>
              <w:jc w:val="center"/>
              <w:rPr>
                <w:rFonts w:ascii="Times New Roman" w:eastAsiaTheme="minorEastAsia" w:hAnsi="Times New Roman"/>
                <w:color w:val="000000"/>
                <w:sz w:val="21"/>
                <w:szCs w:val="21"/>
                <w:lang w:val="en-US"/>
              </w:rPr>
            </w:pPr>
            <w:r>
              <w:rPr>
                <w:rFonts w:ascii="Times New Roman" w:eastAsiaTheme="minorEastAsia" w:hAnsi="Times New Roman" w:hint="eastAsia"/>
                <w:color w:val="000000"/>
                <w:sz w:val="21"/>
                <w:szCs w:val="21"/>
                <w:lang w:val="en-US"/>
              </w:rPr>
              <w:t>2014-12</w:t>
            </w:r>
          </w:p>
        </w:tc>
        <w:tc>
          <w:tcPr>
            <w:tcW w:w="6092" w:type="dxa"/>
            <w:shd w:val="clear" w:color="auto" w:fill="auto"/>
            <w:noWrap/>
            <w:vAlign w:val="center"/>
            <w:hideMark/>
          </w:tcPr>
          <w:p w:rsidR="006374F3" w:rsidRPr="006374F3" w:rsidRDefault="006374F3" w:rsidP="006374F3">
            <w:pPr>
              <w:jc w:val="center"/>
              <w:rPr>
                <w:rFonts w:ascii="Times New Roman" w:eastAsiaTheme="minorEastAsia" w:hAnsi="Times New Roman"/>
                <w:color w:val="000000"/>
                <w:sz w:val="21"/>
                <w:szCs w:val="21"/>
                <w:lang w:val="en-US"/>
              </w:rPr>
            </w:pPr>
            <w:r w:rsidRPr="006374F3">
              <w:rPr>
                <w:rFonts w:ascii="Times New Roman" w:eastAsiaTheme="minorEastAsia" w:hAnsi="Times New Roman" w:hint="eastAsia"/>
                <w:color w:val="000000"/>
                <w:sz w:val="21"/>
                <w:szCs w:val="21"/>
                <w:lang w:val="en-US"/>
              </w:rPr>
              <w:t>7.36%</w:t>
            </w:r>
          </w:p>
        </w:tc>
      </w:tr>
      <w:tr w:rsidR="006374F3" w:rsidRPr="001F0A72" w:rsidTr="009C62B9">
        <w:trPr>
          <w:trHeight w:val="294"/>
        </w:trPr>
        <w:tc>
          <w:tcPr>
            <w:tcW w:w="2275" w:type="dxa"/>
            <w:shd w:val="clear" w:color="auto" w:fill="auto"/>
            <w:noWrap/>
            <w:vAlign w:val="center"/>
            <w:hideMark/>
          </w:tcPr>
          <w:p w:rsidR="006374F3" w:rsidRDefault="006374F3" w:rsidP="000E6389">
            <w:pPr>
              <w:jc w:val="center"/>
              <w:rPr>
                <w:rFonts w:ascii="Times New Roman" w:eastAsiaTheme="minorEastAsia" w:hAnsi="Times New Roman"/>
                <w:color w:val="000000"/>
                <w:sz w:val="21"/>
                <w:szCs w:val="21"/>
                <w:lang w:val="en-US"/>
              </w:rPr>
            </w:pPr>
            <w:r>
              <w:rPr>
                <w:rFonts w:ascii="Times New Roman" w:eastAsiaTheme="minorEastAsia" w:hAnsi="Times New Roman" w:hint="eastAsia"/>
                <w:color w:val="000000"/>
                <w:sz w:val="21"/>
                <w:szCs w:val="21"/>
                <w:lang w:val="en-US"/>
              </w:rPr>
              <w:t>2015-03</w:t>
            </w:r>
          </w:p>
        </w:tc>
        <w:tc>
          <w:tcPr>
            <w:tcW w:w="6092" w:type="dxa"/>
            <w:shd w:val="clear" w:color="auto" w:fill="auto"/>
            <w:noWrap/>
            <w:vAlign w:val="center"/>
            <w:hideMark/>
          </w:tcPr>
          <w:p w:rsidR="006374F3" w:rsidRPr="006374F3" w:rsidRDefault="006374F3" w:rsidP="006374F3">
            <w:pPr>
              <w:jc w:val="center"/>
              <w:rPr>
                <w:rFonts w:ascii="Times New Roman" w:eastAsiaTheme="minorEastAsia" w:hAnsi="Times New Roman"/>
                <w:color w:val="000000"/>
                <w:sz w:val="21"/>
                <w:szCs w:val="21"/>
                <w:lang w:val="en-US"/>
              </w:rPr>
            </w:pPr>
            <w:r w:rsidRPr="006374F3">
              <w:rPr>
                <w:rFonts w:ascii="Times New Roman" w:eastAsiaTheme="minorEastAsia" w:hAnsi="Times New Roman" w:hint="eastAsia"/>
                <w:color w:val="000000"/>
                <w:sz w:val="21"/>
                <w:szCs w:val="21"/>
                <w:lang w:val="en-US"/>
              </w:rPr>
              <w:t>7.18%</w:t>
            </w:r>
          </w:p>
        </w:tc>
      </w:tr>
      <w:tr w:rsidR="006374F3" w:rsidRPr="001F0A72" w:rsidTr="009C62B9">
        <w:trPr>
          <w:trHeight w:val="294"/>
        </w:trPr>
        <w:tc>
          <w:tcPr>
            <w:tcW w:w="2275" w:type="dxa"/>
            <w:shd w:val="clear" w:color="auto" w:fill="auto"/>
            <w:noWrap/>
            <w:vAlign w:val="center"/>
            <w:hideMark/>
          </w:tcPr>
          <w:p w:rsidR="006374F3" w:rsidRDefault="006374F3" w:rsidP="000E6389">
            <w:pPr>
              <w:jc w:val="center"/>
              <w:rPr>
                <w:rFonts w:ascii="Times New Roman" w:eastAsiaTheme="minorEastAsia" w:hAnsi="Times New Roman"/>
                <w:color w:val="000000"/>
                <w:sz w:val="21"/>
                <w:szCs w:val="21"/>
                <w:lang w:val="en-US"/>
              </w:rPr>
            </w:pPr>
            <w:r>
              <w:rPr>
                <w:rFonts w:ascii="Times New Roman" w:eastAsiaTheme="minorEastAsia" w:hAnsi="Times New Roman" w:hint="eastAsia"/>
                <w:color w:val="000000"/>
                <w:sz w:val="21"/>
                <w:szCs w:val="21"/>
                <w:lang w:val="en-US"/>
              </w:rPr>
              <w:t>2015-06</w:t>
            </w:r>
          </w:p>
        </w:tc>
        <w:tc>
          <w:tcPr>
            <w:tcW w:w="6092" w:type="dxa"/>
            <w:shd w:val="clear" w:color="auto" w:fill="auto"/>
            <w:noWrap/>
            <w:vAlign w:val="center"/>
            <w:hideMark/>
          </w:tcPr>
          <w:p w:rsidR="006374F3" w:rsidRPr="006374F3" w:rsidRDefault="006374F3" w:rsidP="006374F3">
            <w:pPr>
              <w:jc w:val="center"/>
              <w:rPr>
                <w:rFonts w:ascii="Times New Roman" w:eastAsiaTheme="minorEastAsia" w:hAnsi="Times New Roman"/>
                <w:color w:val="000000"/>
                <w:sz w:val="21"/>
                <w:szCs w:val="21"/>
                <w:lang w:val="en-US"/>
              </w:rPr>
            </w:pPr>
            <w:r w:rsidRPr="006374F3">
              <w:rPr>
                <w:rFonts w:ascii="Times New Roman" w:eastAsiaTheme="minorEastAsia" w:hAnsi="Times New Roman" w:hint="eastAsia"/>
                <w:color w:val="000000"/>
                <w:sz w:val="21"/>
                <w:szCs w:val="21"/>
                <w:lang w:val="en-US"/>
              </w:rPr>
              <w:t>6.99%</w:t>
            </w:r>
          </w:p>
        </w:tc>
      </w:tr>
    </w:tbl>
    <w:p w:rsidR="00B74FE7" w:rsidRDefault="00CC5E23">
      <w:pPr>
        <w:spacing w:line="360" w:lineRule="auto"/>
        <w:jc w:val="both"/>
        <w:rPr>
          <w:rFonts w:ascii="Times New Roman" w:eastAsiaTheme="minorEastAsia" w:hAnsi="Times New Roman"/>
          <w:sz w:val="18"/>
          <w:szCs w:val="18"/>
        </w:rPr>
      </w:pPr>
      <w:r w:rsidRPr="00CC5E23">
        <w:rPr>
          <w:rFonts w:ascii="Times New Roman" w:eastAsiaTheme="minorEastAsia" w:hAnsi="Times New Roman"/>
          <w:sz w:val="18"/>
          <w:szCs w:val="18"/>
        </w:rPr>
        <w:t>*</w:t>
      </w:r>
      <w:r w:rsidR="00D12ACF">
        <w:rPr>
          <w:rFonts w:ascii="Times New Roman" w:eastAsiaTheme="minorEastAsia" w:hAnsiTheme="minorEastAsia" w:hint="eastAsia"/>
          <w:sz w:val="18"/>
          <w:szCs w:val="18"/>
        </w:rPr>
        <w:t>净值增长率（年化）＝（本期期末卖出价</w:t>
      </w:r>
      <w:r w:rsidR="00D12ACF">
        <w:rPr>
          <w:rFonts w:ascii="Times New Roman" w:eastAsiaTheme="minorEastAsia" w:hAnsiTheme="minorEastAsia" w:hint="eastAsia"/>
          <w:sz w:val="18"/>
          <w:szCs w:val="18"/>
        </w:rPr>
        <w:t>-</w:t>
      </w:r>
      <w:r w:rsidRPr="00CC5E23">
        <w:rPr>
          <w:rFonts w:ascii="Times New Roman" w:eastAsiaTheme="minorEastAsia" w:hAnsiTheme="minorEastAsia" w:hint="eastAsia"/>
          <w:sz w:val="18"/>
          <w:szCs w:val="18"/>
        </w:rPr>
        <w:t>上期期末卖出价）</w:t>
      </w:r>
      <w:r w:rsidRPr="00CC5E23">
        <w:rPr>
          <w:rFonts w:ascii="Times New Roman" w:eastAsiaTheme="minorEastAsia" w:hAnsi="Times New Roman"/>
          <w:sz w:val="18"/>
          <w:szCs w:val="18"/>
        </w:rPr>
        <w:t>/</w:t>
      </w:r>
      <w:r w:rsidRPr="00CC5E23">
        <w:rPr>
          <w:rFonts w:ascii="Times New Roman" w:eastAsiaTheme="minorEastAsia" w:hAnsiTheme="minorEastAsia" w:hint="eastAsia"/>
          <w:sz w:val="18"/>
          <w:szCs w:val="18"/>
        </w:rPr>
        <w:t>上期期末卖出价</w:t>
      </w:r>
      <w:r w:rsidR="00C809C3">
        <w:rPr>
          <w:rFonts w:ascii="Times New Roman" w:eastAsiaTheme="minorEastAsia" w:hAnsiTheme="minorEastAsia" w:hint="eastAsia"/>
          <w:sz w:val="18"/>
          <w:szCs w:val="18"/>
        </w:rPr>
        <w:t>/</w:t>
      </w:r>
      <w:r w:rsidR="00C809C3">
        <w:rPr>
          <w:rFonts w:ascii="Times New Roman" w:eastAsiaTheme="minorEastAsia" w:hAnsiTheme="minorEastAsia" w:hint="eastAsia"/>
          <w:sz w:val="18"/>
          <w:szCs w:val="18"/>
        </w:rPr>
        <w:t>持有天数</w:t>
      </w:r>
      <w:r w:rsidR="00C809C3">
        <w:rPr>
          <w:rFonts w:ascii="Times New Roman" w:eastAsiaTheme="minorEastAsia" w:hAnsi="Times New Roman"/>
          <w:sz w:val="18"/>
          <w:szCs w:val="18"/>
        </w:rPr>
        <w:t>*</w:t>
      </w:r>
      <w:r w:rsidR="00C809C3">
        <w:rPr>
          <w:rFonts w:ascii="Times New Roman" w:eastAsiaTheme="minorEastAsia" w:hAnsi="Times New Roman" w:hint="eastAsia"/>
          <w:sz w:val="18"/>
          <w:szCs w:val="18"/>
        </w:rPr>
        <w:t>365</w:t>
      </w:r>
      <w:r w:rsidRPr="00CC5E23">
        <w:rPr>
          <w:rFonts w:ascii="Times New Roman" w:eastAsiaTheme="minorEastAsia" w:hAnsi="Times New Roman"/>
          <w:sz w:val="18"/>
          <w:szCs w:val="18"/>
        </w:rPr>
        <w:t>*100%</w:t>
      </w:r>
    </w:p>
    <w:p w:rsidR="00C809C3" w:rsidRPr="00C809C3" w:rsidRDefault="00C809C3" w:rsidP="00E573F4">
      <w:pPr>
        <w:spacing w:line="360" w:lineRule="auto"/>
        <w:ind w:firstLine="420"/>
        <w:jc w:val="both"/>
        <w:rPr>
          <w:rFonts w:ascii="Times New Roman" w:eastAsiaTheme="minorEastAsia" w:hAnsi="Times New Roman"/>
          <w:sz w:val="21"/>
          <w:szCs w:val="21"/>
        </w:rPr>
      </w:pPr>
      <w:r w:rsidRPr="00CC5E23">
        <w:rPr>
          <w:rFonts w:ascii="Times New Roman" w:eastAsiaTheme="minorEastAsia" w:hAnsi="Times New Roman"/>
          <w:sz w:val="21"/>
          <w:szCs w:val="21"/>
        </w:rPr>
        <w:t>*2014</w:t>
      </w:r>
      <w:r w:rsidRPr="00192F18">
        <w:rPr>
          <w:rFonts w:ascii="Times New Roman" w:eastAsiaTheme="minorEastAsia" w:hAnsi="Times New Roman" w:hint="eastAsia"/>
          <w:sz w:val="21"/>
          <w:szCs w:val="21"/>
        </w:rPr>
        <w:t>年</w:t>
      </w:r>
      <w:r>
        <w:rPr>
          <w:rFonts w:ascii="Times New Roman" w:eastAsiaTheme="minorEastAsia" w:hAnsi="Times New Roman" w:hint="eastAsia"/>
          <w:sz w:val="21"/>
          <w:szCs w:val="21"/>
        </w:rPr>
        <w:t>5</w:t>
      </w:r>
      <w:r w:rsidR="00DA44CF" w:rsidRPr="00192F18">
        <w:rPr>
          <w:rFonts w:ascii="Times New Roman" w:eastAsiaTheme="minorEastAsia" w:hAnsi="Times New Roman" w:hint="eastAsia"/>
          <w:sz w:val="21"/>
          <w:szCs w:val="21"/>
        </w:rPr>
        <w:t>月</w:t>
      </w:r>
      <w:r w:rsidR="00A379F8" w:rsidRPr="00CC5E23">
        <w:rPr>
          <w:rFonts w:ascii="Times New Roman" w:eastAsiaTheme="minorEastAsia" w:hAnsiTheme="minorEastAsia" w:hint="eastAsia"/>
          <w:sz w:val="21"/>
          <w:szCs w:val="21"/>
        </w:rPr>
        <w:t>：</w:t>
      </w:r>
      <w:r w:rsidRPr="00CC5E23">
        <w:rPr>
          <w:rFonts w:ascii="Times New Roman" w:eastAsiaTheme="minorEastAsia" w:hAnsi="Times New Roman"/>
          <w:sz w:val="21"/>
          <w:szCs w:val="21"/>
        </w:rPr>
        <w:t>2014</w:t>
      </w:r>
      <w:r w:rsidRPr="00CC5E23">
        <w:rPr>
          <w:rFonts w:ascii="Times New Roman" w:eastAsiaTheme="minorEastAsia" w:hAnsiTheme="minorEastAsia" w:hint="eastAsia"/>
          <w:sz w:val="21"/>
          <w:szCs w:val="21"/>
        </w:rPr>
        <w:t>年</w:t>
      </w:r>
      <w:r>
        <w:rPr>
          <w:rFonts w:ascii="Times New Roman" w:eastAsiaTheme="minorEastAsia" w:hAnsi="Times New Roman" w:hint="eastAsia"/>
          <w:sz w:val="21"/>
          <w:szCs w:val="21"/>
        </w:rPr>
        <w:t>5</w:t>
      </w:r>
      <w:r w:rsidRPr="00CC5E23">
        <w:rPr>
          <w:rFonts w:ascii="Times New Roman" w:eastAsiaTheme="minorEastAsia" w:hAnsiTheme="minorEastAsia" w:hint="eastAsia"/>
          <w:sz w:val="21"/>
          <w:szCs w:val="21"/>
        </w:rPr>
        <w:t>月</w:t>
      </w:r>
      <w:r>
        <w:rPr>
          <w:rFonts w:ascii="Times New Roman" w:eastAsiaTheme="minorEastAsia" w:hAnsi="Times New Roman" w:hint="eastAsia"/>
          <w:sz w:val="21"/>
          <w:szCs w:val="21"/>
        </w:rPr>
        <w:t>29</w:t>
      </w:r>
      <w:r w:rsidRPr="00CC5E23">
        <w:rPr>
          <w:rFonts w:ascii="Times New Roman" w:eastAsiaTheme="minorEastAsia" w:hAnsiTheme="minorEastAsia" w:hint="eastAsia"/>
          <w:sz w:val="21"/>
          <w:szCs w:val="21"/>
        </w:rPr>
        <w:t>日为账户初始建立日，上期期末卖出价为</w:t>
      </w:r>
      <w:r w:rsidRPr="00CC5E23">
        <w:rPr>
          <w:rFonts w:ascii="Times New Roman" w:eastAsiaTheme="minorEastAsia" w:hAnsi="Times New Roman"/>
          <w:sz w:val="21"/>
          <w:szCs w:val="21"/>
        </w:rPr>
        <w:t>1.0000</w:t>
      </w:r>
      <w:r w:rsidR="0060348B">
        <w:rPr>
          <w:rFonts w:ascii="Times New Roman" w:eastAsiaTheme="minorEastAsia" w:hAnsi="Times New Roman" w:hint="eastAsia"/>
          <w:sz w:val="21"/>
          <w:szCs w:val="21"/>
        </w:rPr>
        <w:t>0000</w:t>
      </w:r>
      <w:r w:rsidRPr="00CC5E23">
        <w:rPr>
          <w:rFonts w:ascii="Times New Roman" w:eastAsiaTheme="minorEastAsia" w:hAnsiTheme="minorEastAsia" w:hint="eastAsia"/>
          <w:sz w:val="21"/>
          <w:szCs w:val="21"/>
        </w:rPr>
        <w:t>元，本期期末卖出价为</w:t>
      </w:r>
      <w:r w:rsidRPr="00CC5E23">
        <w:rPr>
          <w:rFonts w:ascii="Times New Roman" w:eastAsiaTheme="minorEastAsia" w:hAnsi="Times New Roman"/>
          <w:sz w:val="21"/>
          <w:szCs w:val="21"/>
        </w:rPr>
        <w:t>2014</w:t>
      </w:r>
      <w:r w:rsidRPr="00CC5E23">
        <w:rPr>
          <w:rFonts w:ascii="Times New Roman" w:eastAsiaTheme="minorEastAsia" w:hAnsiTheme="minorEastAsia" w:hint="eastAsia"/>
          <w:sz w:val="21"/>
          <w:szCs w:val="21"/>
        </w:rPr>
        <w:t>年</w:t>
      </w:r>
      <w:r>
        <w:rPr>
          <w:rFonts w:ascii="Times New Roman" w:eastAsiaTheme="minorEastAsia" w:hAnsi="Times New Roman" w:hint="eastAsia"/>
          <w:sz w:val="21"/>
          <w:szCs w:val="21"/>
        </w:rPr>
        <w:t>5</w:t>
      </w:r>
      <w:r w:rsidRPr="00CC5E23">
        <w:rPr>
          <w:rFonts w:ascii="Times New Roman" w:eastAsiaTheme="minorEastAsia" w:hAnsiTheme="minorEastAsia" w:hint="eastAsia"/>
          <w:sz w:val="21"/>
          <w:szCs w:val="21"/>
        </w:rPr>
        <w:t>月</w:t>
      </w:r>
      <w:r>
        <w:rPr>
          <w:rFonts w:ascii="Times New Roman" w:eastAsiaTheme="minorEastAsia" w:hAnsi="Times New Roman"/>
          <w:sz w:val="21"/>
          <w:szCs w:val="21"/>
        </w:rPr>
        <w:t>3</w:t>
      </w:r>
      <w:r>
        <w:rPr>
          <w:rFonts w:ascii="Times New Roman" w:eastAsiaTheme="minorEastAsia" w:hAnsi="Times New Roman" w:hint="eastAsia"/>
          <w:sz w:val="21"/>
          <w:szCs w:val="21"/>
        </w:rPr>
        <w:t>1</w:t>
      </w:r>
      <w:r w:rsidRPr="00CC5E23">
        <w:rPr>
          <w:rFonts w:ascii="Times New Roman" w:eastAsiaTheme="minorEastAsia" w:hAnsiTheme="minorEastAsia" w:hint="eastAsia"/>
          <w:sz w:val="21"/>
          <w:szCs w:val="21"/>
        </w:rPr>
        <w:t>日的投资单位卖出价。</w:t>
      </w:r>
    </w:p>
    <w:p w:rsidR="00DD739D" w:rsidRDefault="00CC5E23">
      <w:pPr>
        <w:spacing w:line="360" w:lineRule="auto"/>
        <w:ind w:firstLine="420"/>
        <w:jc w:val="both"/>
        <w:rPr>
          <w:rFonts w:ascii="Times New Roman" w:eastAsiaTheme="minorEastAsia" w:hAnsi="Times New Roman"/>
          <w:sz w:val="21"/>
          <w:szCs w:val="21"/>
        </w:rPr>
      </w:pPr>
      <w:r w:rsidRPr="00CC5E23">
        <w:rPr>
          <w:rFonts w:ascii="Times New Roman" w:eastAsiaTheme="minorEastAsia" w:hAnsi="Times New Roman"/>
          <w:sz w:val="21"/>
          <w:szCs w:val="21"/>
        </w:rPr>
        <w:t>*2014</w:t>
      </w:r>
      <w:r w:rsidRPr="00CC5E23">
        <w:rPr>
          <w:rFonts w:ascii="Times New Roman" w:eastAsiaTheme="minorEastAsia" w:hAnsiTheme="minorEastAsia" w:hint="eastAsia"/>
          <w:sz w:val="21"/>
          <w:szCs w:val="21"/>
        </w:rPr>
        <w:t>年</w:t>
      </w:r>
      <w:r w:rsidRPr="00CC5E23">
        <w:rPr>
          <w:rFonts w:ascii="Times New Roman" w:eastAsiaTheme="minorEastAsia" w:hAnsi="Times New Roman"/>
          <w:sz w:val="21"/>
          <w:szCs w:val="21"/>
        </w:rPr>
        <w:t>6</w:t>
      </w:r>
      <w:r w:rsidRPr="00CC5E23">
        <w:rPr>
          <w:rFonts w:ascii="Times New Roman" w:eastAsiaTheme="minorEastAsia" w:hAnsiTheme="minorEastAsia" w:hint="eastAsia"/>
          <w:sz w:val="21"/>
          <w:szCs w:val="21"/>
        </w:rPr>
        <w:t>月：上期期末卖出价为</w:t>
      </w:r>
      <w:r w:rsidRPr="00CC5E23">
        <w:rPr>
          <w:rFonts w:ascii="Times New Roman" w:eastAsiaTheme="minorEastAsia" w:hAnsi="Times New Roman"/>
          <w:sz w:val="21"/>
          <w:szCs w:val="21"/>
        </w:rPr>
        <w:t>2014</w:t>
      </w:r>
      <w:r w:rsidRPr="00CC5E23">
        <w:rPr>
          <w:rFonts w:ascii="Times New Roman" w:eastAsiaTheme="minorEastAsia" w:hAnsiTheme="minorEastAsia" w:hint="eastAsia"/>
          <w:sz w:val="21"/>
          <w:szCs w:val="21"/>
        </w:rPr>
        <w:t>年</w:t>
      </w:r>
      <w:r w:rsidRPr="00CC5E23">
        <w:rPr>
          <w:rFonts w:ascii="Times New Roman" w:eastAsiaTheme="minorEastAsia" w:hAnsi="Times New Roman"/>
          <w:sz w:val="21"/>
          <w:szCs w:val="21"/>
        </w:rPr>
        <w:t>5</w:t>
      </w:r>
      <w:r w:rsidRPr="00CC5E23">
        <w:rPr>
          <w:rFonts w:ascii="Times New Roman" w:eastAsiaTheme="minorEastAsia" w:hAnsiTheme="minorEastAsia" w:hint="eastAsia"/>
          <w:sz w:val="21"/>
          <w:szCs w:val="21"/>
        </w:rPr>
        <w:t>月</w:t>
      </w:r>
      <w:r w:rsidRPr="00CC5E23">
        <w:rPr>
          <w:rFonts w:ascii="Times New Roman" w:eastAsiaTheme="minorEastAsia" w:hAnsi="Times New Roman"/>
          <w:sz w:val="21"/>
          <w:szCs w:val="21"/>
        </w:rPr>
        <w:t>31</w:t>
      </w:r>
      <w:r w:rsidRPr="00CC5E23">
        <w:rPr>
          <w:rFonts w:ascii="Times New Roman" w:eastAsiaTheme="minorEastAsia" w:hAnsiTheme="minorEastAsia" w:hint="eastAsia"/>
          <w:sz w:val="21"/>
          <w:szCs w:val="21"/>
        </w:rPr>
        <w:t>日的投资单位卖出价，本期期末卖出价为</w:t>
      </w:r>
      <w:r w:rsidRPr="00CC5E23">
        <w:rPr>
          <w:rFonts w:ascii="Times New Roman" w:eastAsiaTheme="minorEastAsia" w:hAnsi="Times New Roman"/>
          <w:sz w:val="21"/>
          <w:szCs w:val="21"/>
        </w:rPr>
        <w:t>2014</w:t>
      </w:r>
      <w:r w:rsidRPr="00CC5E23">
        <w:rPr>
          <w:rFonts w:ascii="Times New Roman" w:eastAsiaTheme="minorEastAsia" w:hAnsiTheme="minorEastAsia" w:hint="eastAsia"/>
          <w:sz w:val="21"/>
          <w:szCs w:val="21"/>
        </w:rPr>
        <w:t>年</w:t>
      </w:r>
      <w:r w:rsidRPr="00CC5E23">
        <w:rPr>
          <w:rFonts w:ascii="Times New Roman" w:eastAsiaTheme="minorEastAsia" w:hAnsi="Times New Roman"/>
          <w:sz w:val="21"/>
          <w:szCs w:val="21"/>
        </w:rPr>
        <w:t>6</w:t>
      </w:r>
      <w:r w:rsidRPr="00CC5E23">
        <w:rPr>
          <w:rFonts w:ascii="Times New Roman" w:eastAsiaTheme="minorEastAsia" w:hAnsiTheme="minorEastAsia" w:hint="eastAsia"/>
          <w:sz w:val="21"/>
          <w:szCs w:val="21"/>
        </w:rPr>
        <w:t>月</w:t>
      </w:r>
      <w:r w:rsidRPr="00CC5E23">
        <w:rPr>
          <w:rFonts w:ascii="Times New Roman" w:eastAsiaTheme="minorEastAsia" w:hAnsi="Times New Roman"/>
          <w:sz w:val="21"/>
          <w:szCs w:val="21"/>
        </w:rPr>
        <w:t>30</w:t>
      </w:r>
      <w:r w:rsidRPr="00CC5E23">
        <w:rPr>
          <w:rFonts w:ascii="Times New Roman" w:eastAsiaTheme="minorEastAsia" w:hAnsiTheme="minorEastAsia" w:hint="eastAsia"/>
          <w:sz w:val="21"/>
          <w:szCs w:val="21"/>
        </w:rPr>
        <w:t>日的投资单位卖出价。</w:t>
      </w:r>
    </w:p>
    <w:p w:rsidR="000E6389" w:rsidRDefault="00CC5E23" w:rsidP="00B74FE7">
      <w:pPr>
        <w:spacing w:line="360" w:lineRule="auto"/>
        <w:ind w:firstLine="420"/>
        <w:jc w:val="both"/>
        <w:rPr>
          <w:rFonts w:ascii="Times New Roman" w:eastAsiaTheme="minorEastAsia" w:hAnsiTheme="minorEastAsia"/>
          <w:sz w:val="21"/>
          <w:szCs w:val="21"/>
        </w:rPr>
      </w:pPr>
      <w:r w:rsidRPr="00CC5E23">
        <w:rPr>
          <w:rFonts w:ascii="Times New Roman" w:eastAsiaTheme="minorEastAsia" w:hAnsi="Times New Roman"/>
          <w:sz w:val="21"/>
          <w:szCs w:val="21"/>
        </w:rPr>
        <w:t>*2014</w:t>
      </w:r>
      <w:r w:rsidRPr="00CC5E23">
        <w:rPr>
          <w:rFonts w:ascii="Times New Roman" w:eastAsiaTheme="minorEastAsia" w:hAnsiTheme="minorEastAsia" w:hint="eastAsia"/>
          <w:sz w:val="21"/>
          <w:szCs w:val="21"/>
        </w:rPr>
        <w:t>年</w:t>
      </w:r>
      <w:r w:rsidRPr="00CC5E23">
        <w:rPr>
          <w:rFonts w:ascii="Times New Roman" w:eastAsiaTheme="minorEastAsia" w:hAnsi="Times New Roman"/>
          <w:sz w:val="21"/>
          <w:szCs w:val="21"/>
        </w:rPr>
        <w:t>9</w:t>
      </w:r>
      <w:r w:rsidRPr="00CC5E23">
        <w:rPr>
          <w:rFonts w:ascii="Times New Roman" w:eastAsiaTheme="minorEastAsia" w:hAnsiTheme="minorEastAsia" w:hint="eastAsia"/>
          <w:sz w:val="21"/>
          <w:szCs w:val="21"/>
        </w:rPr>
        <w:t>月：</w:t>
      </w:r>
      <w:bookmarkStart w:id="3" w:name="OLE_LINK48"/>
      <w:bookmarkStart w:id="4" w:name="OLE_LINK49"/>
      <w:bookmarkEnd w:id="3"/>
      <w:bookmarkEnd w:id="4"/>
      <w:r w:rsidRPr="00CC5E23">
        <w:rPr>
          <w:rFonts w:ascii="Times New Roman" w:eastAsiaTheme="minorEastAsia" w:hAnsiTheme="minorEastAsia" w:hint="eastAsia"/>
          <w:sz w:val="21"/>
          <w:szCs w:val="21"/>
        </w:rPr>
        <w:t>上期期末卖出价为</w:t>
      </w:r>
      <w:r w:rsidRPr="00CC5E23">
        <w:rPr>
          <w:rFonts w:ascii="Times New Roman" w:eastAsiaTheme="minorEastAsia" w:hAnsi="Times New Roman"/>
          <w:sz w:val="21"/>
          <w:szCs w:val="21"/>
        </w:rPr>
        <w:t>2014</w:t>
      </w:r>
      <w:r w:rsidRPr="00CC5E23">
        <w:rPr>
          <w:rFonts w:ascii="Times New Roman" w:eastAsiaTheme="minorEastAsia" w:hAnsiTheme="minorEastAsia" w:hint="eastAsia"/>
          <w:sz w:val="21"/>
          <w:szCs w:val="21"/>
        </w:rPr>
        <w:t>年</w:t>
      </w:r>
      <w:r w:rsidR="004C684B">
        <w:rPr>
          <w:rFonts w:ascii="Times New Roman" w:eastAsiaTheme="minorEastAsia" w:hAnsi="Times New Roman" w:hint="eastAsia"/>
          <w:sz w:val="21"/>
          <w:szCs w:val="21"/>
        </w:rPr>
        <w:t>6</w:t>
      </w:r>
      <w:r w:rsidRPr="00CC5E23">
        <w:rPr>
          <w:rFonts w:ascii="Times New Roman" w:eastAsiaTheme="minorEastAsia" w:hAnsiTheme="minorEastAsia" w:hint="eastAsia"/>
          <w:sz w:val="21"/>
          <w:szCs w:val="21"/>
        </w:rPr>
        <w:t>月</w:t>
      </w:r>
      <w:r w:rsidR="004C684B">
        <w:rPr>
          <w:rFonts w:ascii="Times New Roman" w:eastAsiaTheme="minorEastAsia" w:hAnsi="Times New Roman" w:hint="eastAsia"/>
          <w:sz w:val="21"/>
          <w:szCs w:val="21"/>
        </w:rPr>
        <w:t>30</w:t>
      </w:r>
      <w:r w:rsidRPr="00CC5E23">
        <w:rPr>
          <w:rFonts w:ascii="Times New Roman" w:eastAsiaTheme="minorEastAsia" w:hAnsiTheme="minorEastAsia" w:hint="eastAsia"/>
          <w:sz w:val="21"/>
          <w:szCs w:val="21"/>
        </w:rPr>
        <w:t>日的投资单位卖出价，本期期末卖出价为</w:t>
      </w:r>
      <w:r w:rsidRPr="00CC5E23">
        <w:rPr>
          <w:rFonts w:ascii="Times New Roman" w:eastAsiaTheme="minorEastAsia" w:hAnsi="Times New Roman"/>
          <w:sz w:val="21"/>
          <w:szCs w:val="21"/>
        </w:rPr>
        <w:t>2014</w:t>
      </w:r>
      <w:r w:rsidRPr="00CC5E23">
        <w:rPr>
          <w:rFonts w:ascii="Times New Roman" w:eastAsiaTheme="minorEastAsia" w:hAnsiTheme="minorEastAsia" w:hint="eastAsia"/>
          <w:sz w:val="21"/>
          <w:szCs w:val="21"/>
        </w:rPr>
        <w:t>年</w:t>
      </w:r>
      <w:r w:rsidRPr="00CC5E23">
        <w:rPr>
          <w:rFonts w:ascii="Times New Roman" w:eastAsiaTheme="minorEastAsia" w:hAnsi="Times New Roman"/>
          <w:sz w:val="21"/>
          <w:szCs w:val="21"/>
        </w:rPr>
        <w:t>9</w:t>
      </w:r>
      <w:r w:rsidRPr="00CC5E23">
        <w:rPr>
          <w:rFonts w:ascii="Times New Roman" w:eastAsiaTheme="minorEastAsia" w:hAnsiTheme="minorEastAsia" w:hint="eastAsia"/>
          <w:sz w:val="21"/>
          <w:szCs w:val="21"/>
        </w:rPr>
        <w:t>月</w:t>
      </w:r>
      <w:r w:rsidRPr="00CC5E23">
        <w:rPr>
          <w:rFonts w:ascii="Times New Roman" w:eastAsiaTheme="minorEastAsia" w:hAnsi="Times New Roman"/>
          <w:sz w:val="21"/>
          <w:szCs w:val="21"/>
        </w:rPr>
        <w:t>30</w:t>
      </w:r>
      <w:r w:rsidRPr="00CC5E23">
        <w:rPr>
          <w:rFonts w:ascii="Times New Roman" w:eastAsiaTheme="minorEastAsia" w:hAnsiTheme="minorEastAsia" w:hint="eastAsia"/>
          <w:sz w:val="21"/>
          <w:szCs w:val="21"/>
        </w:rPr>
        <w:t>日的投资单位卖出价。</w:t>
      </w:r>
      <w:bookmarkStart w:id="5" w:name="OLE_LINK53"/>
      <w:bookmarkStart w:id="6" w:name="OLE_LINK52"/>
      <w:bookmarkEnd w:id="5"/>
      <w:bookmarkEnd w:id="6"/>
    </w:p>
    <w:p w:rsidR="00B74FE7" w:rsidRDefault="002363AF" w:rsidP="00DE10DE">
      <w:pPr>
        <w:spacing w:line="360" w:lineRule="auto"/>
        <w:ind w:firstLine="420"/>
        <w:jc w:val="both"/>
        <w:rPr>
          <w:rFonts w:ascii="Times New Roman" w:eastAsiaTheme="minorEastAsia" w:hAnsiTheme="minorEastAsia"/>
          <w:sz w:val="21"/>
          <w:szCs w:val="21"/>
        </w:rPr>
      </w:pPr>
      <w:r w:rsidRPr="00CC5E23">
        <w:rPr>
          <w:rFonts w:ascii="Times New Roman" w:eastAsiaTheme="minorEastAsia" w:hAnsi="Times New Roman"/>
          <w:sz w:val="21"/>
          <w:szCs w:val="21"/>
        </w:rPr>
        <w:t>*2014</w:t>
      </w:r>
      <w:r w:rsidRPr="00CC5E23">
        <w:rPr>
          <w:rFonts w:ascii="Times New Roman" w:eastAsiaTheme="minorEastAsia" w:hAnsiTheme="minorEastAsia" w:hint="eastAsia"/>
          <w:sz w:val="21"/>
          <w:szCs w:val="21"/>
        </w:rPr>
        <w:t>年</w:t>
      </w:r>
      <w:r>
        <w:rPr>
          <w:rFonts w:ascii="Times New Roman" w:eastAsiaTheme="minorEastAsia" w:hAnsi="Times New Roman" w:hint="eastAsia"/>
          <w:sz w:val="21"/>
          <w:szCs w:val="21"/>
        </w:rPr>
        <w:t>12</w:t>
      </w:r>
      <w:r w:rsidRPr="00CC5E23">
        <w:rPr>
          <w:rFonts w:ascii="Times New Roman" w:eastAsiaTheme="minorEastAsia" w:hAnsiTheme="minorEastAsia" w:hint="eastAsia"/>
          <w:sz w:val="21"/>
          <w:szCs w:val="21"/>
        </w:rPr>
        <w:t>月：上期期末卖出价为</w:t>
      </w:r>
      <w:r w:rsidRPr="00CC5E23">
        <w:rPr>
          <w:rFonts w:ascii="Times New Roman" w:eastAsiaTheme="minorEastAsia" w:hAnsi="Times New Roman"/>
          <w:sz w:val="21"/>
          <w:szCs w:val="21"/>
        </w:rPr>
        <w:t>2014</w:t>
      </w:r>
      <w:r w:rsidRPr="00CC5E23">
        <w:rPr>
          <w:rFonts w:ascii="Times New Roman" w:eastAsiaTheme="minorEastAsia" w:hAnsiTheme="minorEastAsia" w:hint="eastAsia"/>
          <w:sz w:val="21"/>
          <w:szCs w:val="21"/>
        </w:rPr>
        <w:t>年</w:t>
      </w:r>
      <w:r w:rsidR="004C684B">
        <w:rPr>
          <w:rFonts w:ascii="Times New Roman" w:eastAsiaTheme="minorEastAsia" w:hAnsi="Times New Roman" w:hint="eastAsia"/>
          <w:sz w:val="21"/>
          <w:szCs w:val="21"/>
        </w:rPr>
        <w:t>9</w:t>
      </w:r>
      <w:r w:rsidRPr="00CC5E23">
        <w:rPr>
          <w:rFonts w:ascii="Times New Roman" w:eastAsiaTheme="minorEastAsia" w:hAnsiTheme="minorEastAsia" w:hint="eastAsia"/>
          <w:sz w:val="21"/>
          <w:szCs w:val="21"/>
        </w:rPr>
        <w:t>月</w:t>
      </w:r>
      <w:r w:rsidRPr="00CC5E23">
        <w:rPr>
          <w:rFonts w:ascii="Times New Roman" w:eastAsiaTheme="minorEastAsia" w:hAnsi="Times New Roman"/>
          <w:sz w:val="21"/>
          <w:szCs w:val="21"/>
        </w:rPr>
        <w:t>3</w:t>
      </w:r>
      <w:r>
        <w:rPr>
          <w:rFonts w:ascii="Times New Roman" w:eastAsiaTheme="minorEastAsia" w:hAnsi="Times New Roman" w:hint="eastAsia"/>
          <w:sz w:val="21"/>
          <w:szCs w:val="21"/>
        </w:rPr>
        <w:t>0</w:t>
      </w:r>
      <w:r w:rsidRPr="00CC5E23">
        <w:rPr>
          <w:rFonts w:ascii="Times New Roman" w:eastAsiaTheme="minorEastAsia" w:hAnsiTheme="minorEastAsia" w:hint="eastAsia"/>
          <w:sz w:val="21"/>
          <w:szCs w:val="21"/>
        </w:rPr>
        <w:t>日的投资单位卖出价，本期期末卖出价为</w:t>
      </w:r>
      <w:r w:rsidRPr="00CC5E23">
        <w:rPr>
          <w:rFonts w:ascii="Times New Roman" w:eastAsiaTheme="minorEastAsia" w:hAnsi="Times New Roman"/>
          <w:sz w:val="21"/>
          <w:szCs w:val="21"/>
        </w:rPr>
        <w:t>2014</w:t>
      </w:r>
      <w:r w:rsidRPr="00CC5E23">
        <w:rPr>
          <w:rFonts w:ascii="Times New Roman" w:eastAsiaTheme="minorEastAsia" w:hAnsiTheme="minorEastAsia" w:hint="eastAsia"/>
          <w:sz w:val="21"/>
          <w:szCs w:val="21"/>
        </w:rPr>
        <w:t>年</w:t>
      </w:r>
      <w:r>
        <w:rPr>
          <w:rFonts w:ascii="Times New Roman" w:eastAsiaTheme="minorEastAsia" w:hAnsi="Times New Roman" w:hint="eastAsia"/>
          <w:sz w:val="21"/>
          <w:szCs w:val="21"/>
        </w:rPr>
        <w:t>12</w:t>
      </w:r>
      <w:r w:rsidRPr="00CC5E23">
        <w:rPr>
          <w:rFonts w:ascii="Times New Roman" w:eastAsiaTheme="minorEastAsia" w:hAnsiTheme="minorEastAsia" w:hint="eastAsia"/>
          <w:sz w:val="21"/>
          <w:szCs w:val="21"/>
        </w:rPr>
        <w:t>月</w:t>
      </w:r>
      <w:r w:rsidRPr="00CC5E23">
        <w:rPr>
          <w:rFonts w:ascii="Times New Roman" w:eastAsiaTheme="minorEastAsia" w:hAnsi="Times New Roman"/>
          <w:sz w:val="21"/>
          <w:szCs w:val="21"/>
        </w:rPr>
        <w:t>3</w:t>
      </w:r>
      <w:r>
        <w:rPr>
          <w:rFonts w:ascii="Times New Roman" w:eastAsiaTheme="minorEastAsia" w:hAnsi="Times New Roman" w:hint="eastAsia"/>
          <w:sz w:val="21"/>
          <w:szCs w:val="21"/>
        </w:rPr>
        <w:t>1</w:t>
      </w:r>
      <w:r w:rsidRPr="00CC5E23">
        <w:rPr>
          <w:rFonts w:ascii="Times New Roman" w:eastAsiaTheme="minorEastAsia" w:hAnsiTheme="minorEastAsia" w:hint="eastAsia"/>
          <w:sz w:val="21"/>
          <w:szCs w:val="21"/>
        </w:rPr>
        <w:t>日的投资单位卖出价。</w:t>
      </w:r>
    </w:p>
    <w:p w:rsidR="00337165" w:rsidRPr="00DE10DE" w:rsidRDefault="00337165" w:rsidP="00337165">
      <w:pPr>
        <w:spacing w:line="360" w:lineRule="auto"/>
        <w:ind w:firstLine="420"/>
        <w:jc w:val="both"/>
        <w:rPr>
          <w:rFonts w:ascii="Times New Roman" w:eastAsiaTheme="minorEastAsia" w:hAnsi="Times New Roman"/>
          <w:sz w:val="20"/>
          <w:szCs w:val="20"/>
        </w:rPr>
      </w:pPr>
      <w:r w:rsidRPr="00CC5E23">
        <w:rPr>
          <w:rFonts w:ascii="Times New Roman" w:eastAsiaTheme="minorEastAsia" w:hAnsi="Times New Roman"/>
          <w:sz w:val="21"/>
          <w:szCs w:val="21"/>
        </w:rPr>
        <w:t>*201</w:t>
      </w:r>
      <w:r>
        <w:rPr>
          <w:rFonts w:ascii="Times New Roman" w:eastAsiaTheme="minorEastAsia" w:hAnsi="Times New Roman" w:hint="eastAsia"/>
          <w:sz w:val="21"/>
          <w:szCs w:val="21"/>
        </w:rPr>
        <w:t>5</w:t>
      </w:r>
      <w:r w:rsidRPr="00CC5E23">
        <w:rPr>
          <w:rFonts w:ascii="Times New Roman" w:eastAsiaTheme="minorEastAsia" w:hAnsiTheme="minorEastAsia" w:hint="eastAsia"/>
          <w:sz w:val="21"/>
          <w:szCs w:val="21"/>
        </w:rPr>
        <w:t>年</w:t>
      </w:r>
      <w:r>
        <w:rPr>
          <w:rFonts w:ascii="Times New Roman" w:eastAsiaTheme="minorEastAsia" w:hAnsi="Times New Roman" w:hint="eastAsia"/>
          <w:sz w:val="21"/>
          <w:szCs w:val="21"/>
        </w:rPr>
        <w:t>3</w:t>
      </w:r>
      <w:r w:rsidRPr="00CC5E23">
        <w:rPr>
          <w:rFonts w:ascii="Times New Roman" w:eastAsiaTheme="minorEastAsia" w:hAnsiTheme="minorEastAsia" w:hint="eastAsia"/>
          <w:sz w:val="21"/>
          <w:szCs w:val="21"/>
        </w:rPr>
        <w:t>月：上期期末卖出价为</w:t>
      </w:r>
      <w:r w:rsidR="00823124" w:rsidRPr="00CC5E23">
        <w:rPr>
          <w:rFonts w:ascii="Times New Roman" w:eastAsiaTheme="minorEastAsia" w:hAnsi="Times New Roman"/>
          <w:sz w:val="21"/>
          <w:szCs w:val="21"/>
        </w:rPr>
        <w:t>201</w:t>
      </w:r>
      <w:r w:rsidR="004C684B">
        <w:rPr>
          <w:rFonts w:ascii="Times New Roman" w:eastAsiaTheme="minorEastAsia" w:hAnsi="Times New Roman" w:hint="eastAsia"/>
          <w:sz w:val="21"/>
          <w:szCs w:val="21"/>
        </w:rPr>
        <w:t>4</w:t>
      </w:r>
      <w:r w:rsidR="00823124" w:rsidRPr="00CC5E23">
        <w:rPr>
          <w:rFonts w:ascii="Times New Roman" w:eastAsiaTheme="minorEastAsia" w:hAnsiTheme="minorEastAsia" w:hint="eastAsia"/>
          <w:sz w:val="21"/>
          <w:szCs w:val="21"/>
        </w:rPr>
        <w:t>年</w:t>
      </w:r>
      <w:r w:rsidR="004C684B">
        <w:rPr>
          <w:rFonts w:ascii="Times New Roman" w:eastAsiaTheme="minorEastAsia" w:hAnsiTheme="minorEastAsia" w:hint="eastAsia"/>
          <w:sz w:val="21"/>
          <w:szCs w:val="21"/>
        </w:rPr>
        <w:t>1</w:t>
      </w:r>
      <w:r w:rsidR="00823124">
        <w:rPr>
          <w:rFonts w:ascii="Times New Roman" w:eastAsiaTheme="minorEastAsia" w:hAnsi="Times New Roman" w:hint="eastAsia"/>
          <w:sz w:val="21"/>
          <w:szCs w:val="21"/>
        </w:rPr>
        <w:t>2</w:t>
      </w:r>
      <w:r w:rsidR="00823124" w:rsidRPr="00CC5E23">
        <w:rPr>
          <w:rFonts w:ascii="Times New Roman" w:eastAsiaTheme="minorEastAsia" w:hAnsiTheme="minorEastAsia" w:hint="eastAsia"/>
          <w:sz w:val="21"/>
          <w:szCs w:val="21"/>
        </w:rPr>
        <w:t>月</w:t>
      </w:r>
      <w:r w:rsidR="004C684B">
        <w:rPr>
          <w:rFonts w:ascii="Times New Roman" w:eastAsiaTheme="minorEastAsia" w:hAnsi="Times New Roman" w:hint="eastAsia"/>
          <w:sz w:val="21"/>
          <w:szCs w:val="21"/>
        </w:rPr>
        <w:t>31</w:t>
      </w:r>
      <w:r w:rsidR="00823124" w:rsidRPr="00CC5E23">
        <w:rPr>
          <w:rFonts w:ascii="Times New Roman" w:eastAsiaTheme="minorEastAsia" w:hAnsiTheme="minorEastAsia" w:hint="eastAsia"/>
          <w:sz w:val="21"/>
          <w:szCs w:val="21"/>
        </w:rPr>
        <w:t>日的投资单位卖出价</w:t>
      </w:r>
      <w:r w:rsidRPr="00CC5E23">
        <w:rPr>
          <w:rFonts w:ascii="Times New Roman" w:eastAsiaTheme="minorEastAsia" w:hAnsiTheme="minorEastAsia" w:hint="eastAsia"/>
          <w:sz w:val="21"/>
          <w:szCs w:val="21"/>
        </w:rPr>
        <w:t>，本期期末卖出价为</w:t>
      </w:r>
      <w:r w:rsidRPr="00CC5E23">
        <w:rPr>
          <w:rFonts w:ascii="Times New Roman" w:eastAsiaTheme="minorEastAsia" w:hAnsi="Times New Roman"/>
          <w:sz w:val="21"/>
          <w:szCs w:val="21"/>
        </w:rPr>
        <w:t>201</w:t>
      </w:r>
      <w:r>
        <w:rPr>
          <w:rFonts w:ascii="Times New Roman" w:eastAsiaTheme="minorEastAsia" w:hAnsi="Times New Roman" w:hint="eastAsia"/>
          <w:sz w:val="21"/>
          <w:szCs w:val="21"/>
        </w:rPr>
        <w:t>5</w:t>
      </w:r>
      <w:r w:rsidRPr="00CC5E23">
        <w:rPr>
          <w:rFonts w:ascii="Times New Roman" w:eastAsiaTheme="minorEastAsia" w:hAnsiTheme="minorEastAsia" w:hint="eastAsia"/>
          <w:sz w:val="21"/>
          <w:szCs w:val="21"/>
        </w:rPr>
        <w:t>年</w:t>
      </w:r>
      <w:r w:rsidR="004869CC">
        <w:rPr>
          <w:rFonts w:ascii="Times New Roman" w:eastAsiaTheme="minorEastAsia" w:hAnsi="Times New Roman" w:hint="eastAsia"/>
          <w:sz w:val="21"/>
          <w:szCs w:val="21"/>
        </w:rPr>
        <w:t>3</w:t>
      </w:r>
      <w:r w:rsidRPr="00CC5E23">
        <w:rPr>
          <w:rFonts w:ascii="Times New Roman" w:eastAsiaTheme="minorEastAsia" w:hAnsiTheme="minorEastAsia" w:hint="eastAsia"/>
          <w:sz w:val="21"/>
          <w:szCs w:val="21"/>
        </w:rPr>
        <w:t>月</w:t>
      </w:r>
      <w:r w:rsidRPr="00CC5E23">
        <w:rPr>
          <w:rFonts w:ascii="Times New Roman" w:eastAsiaTheme="minorEastAsia" w:hAnsi="Times New Roman"/>
          <w:sz w:val="21"/>
          <w:szCs w:val="21"/>
        </w:rPr>
        <w:t>3</w:t>
      </w:r>
      <w:r>
        <w:rPr>
          <w:rFonts w:ascii="Times New Roman" w:eastAsiaTheme="minorEastAsia" w:hAnsi="Times New Roman" w:hint="eastAsia"/>
          <w:sz w:val="21"/>
          <w:szCs w:val="21"/>
        </w:rPr>
        <w:t>1</w:t>
      </w:r>
      <w:r w:rsidRPr="00CC5E23">
        <w:rPr>
          <w:rFonts w:ascii="Times New Roman" w:eastAsiaTheme="minorEastAsia" w:hAnsiTheme="minorEastAsia" w:hint="eastAsia"/>
          <w:sz w:val="21"/>
          <w:szCs w:val="21"/>
        </w:rPr>
        <w:t>日的投资单位卖出价。</w:t>
      </w:r>
    </w:p>
    <w:p w:rsidR="0030044A" w:rsidRDefault="00486A9C" w:rsidP="007C7429">
      <w:pPr>
        <w:spacing w:line="360" w:lineRule="auto"/>
        <w:ind w:firstLine="420"/>
        <w:jc w:val="both"/>
        <w:rPr>
          <w:rFonts w:ascii="Times New Roman" w:eastAsiaTheme="minorEastAsia" w:hAnsi="Times New Roman"/>
          <w:sz w:val="20"/>
          <w:szCs w:val="20"/>
        </w:rPr>
      </w:pPr>
      <w:r w:rsidRPr="00CC5E23">
        <w:rPr>
          <w:rFonts w:ascii="Times New Roman" w:eastAsiaTheme="minorEastAsia" w:hAnsi="Times New Roman"/>
          <w:sz w:val="21"/>
          <w:szCs w:val="21"/>
        </w:rPr>
        <w:t>*201</w:t>
      </w:r>
      <w:r>
        <w:rPr>
          <w:rFonts w:ascii="Times New Roman" w:eastAsiaTheme="minorEastAsia" w:hAnsi="Times New Roman" w:hint="eastAsia"/>
          <w:sz w:val="21"/>
          <w:szCs w:val="21"/>
        </w:rPr>
        <w:t>5</w:t>
      </w:r>
      <w:r w:rsidRPr="00CC5E23">
        <w:rPr>
          <w:rFonts w:ascii="Times New Roman" w:eastAsiaTheme="minorEastAsia" w:hAnsiTheme="minorEastAsia" w:hint="eastAsia"/>
          <w:sz w:val="21"/>
          <w:szCs w:val="21"/>
        </w:rPr>
        <w:t>年</w:t>
      </w:r>
      <w:r>
        <w:rPr>
          <w:rFonts w:ascii="Times New Roman" w:eastAsiaTheme="minorEastAsia" w:hAnsi="Times New Roman" w:hint="eastAsia"/>
          <w:sz w:val="21"/>
          <w:szCs w:val="21"/>
        </w:rPr>
        <w:t>6</w:t>
      </w:r>
      <w:r w:rsidRPr="00CC5E23">
        <w:rPr>
          <w:rFonts w:ascii="Times New Roman" w:eastAsiaTheme="minorEastAsia" w:hAnsiTheme="minorEastAsia" w:hint="eastAsia"/>
          <w:sz w:val="21"/>
          <w:szCs w:val="21"/>
        </w:rPr>
        <w:t>月：上期期末卖出价为</w:t>
      </w:r>
      <w:r w:rsidR="007345AF" w:rsidRPr="00CC5E23">
        <w:rPr>
          <w:rFonts w:ascii="Times New Roman" w:eastAsiaTheme="minorEastAsia" w:hAnsi="Times New Roman"/>
          <w:sz w:val="21"/>
          <w:szCs w:val="21"/>
        </w:rPr>
        <w:t>201</w:t>
      </w:r>
      <w:r w:rsidR="007345AF">
        <w:rPr>
          <w:rFonts w:ascii="Times New Roman" w:eastAsiaTheme="minorEastAsia" w:hAnsi="Times New Roman" w:hint="eastAsia"/>
          <w:sz w:val="21"/>
          <w:szCs w:val="21"/>
        </w:rPr>
        <w:t>5</w:t>
      </w:r>
      <w:r w:rsidR="007345AF" w:rsidRPr="00CC5E23">
        <w:rPr>
          <w:rFonts w:ascii="Times New Roman" w:eastAsiaTheme="minorEastAsia" w:hAnsiTheme="minorEastAsia" w:hint="eastAsia"/>
          <w:sz w:val="21"/>
          <w:szCs w:val="21"/>
        </w:rPr>
        <w:t>年</w:t>
      </w:r>
      <w:r w:rsidR="004C684B">
        <w:rPr>
          <w:rFonts w:ascii="Times New Roman" w:eastAsiaTheme="minorEastAsia" w:hAnsi="Times New Roman" w:hint="eastAsia"/>
          <w:sz w:val="21"/>
          <w:szCs w:val="21"/>
        </w:rPr>
        <w:t>3</w:t>
      </w:r>
      <w:r w:rsidR="007345AF" w:rsidRPr="00CC5E23">
        <w:rPr>
          <w:rFonts w:ascii="Times New Roman" w:eastAsiaTheme="minorEastAsia" w:hAnsiTheme="minorEastAsia" w:hint="eastAsia"/>
          <w:sz w:val="21"/>
          <w:szCs w:val="21"/>
        </w:rPr>
        <w:t>月</w:t>
      </w:r>
      <w:r w:rsidR="007345AF" w:rsidRPr="00CC5E23">
        <w:rPr>
          <w:rFonts w:ascii="Times New Roman" w:eastAsiaTheme="minorEastAsia" w:hAnsi="Times New Roman"/>
          <w:sz w:val="21"/>
          <w:szCs w:val="21"/>
        </w:rPr>
        <w:t>3</w:t>
      </w:r>
      <w:r w:rsidR="007345AF">
        <w:rPr>
          <w:rFonts w:ascii="Times New Roman" w:eastAsiaTheme="minorEastAsia" w:hAnsi="Times New Roman" w:hint="eastAsia"/>
          <w:sz w:val="21"/>
          <w:szCs w:val="21"/>
        </w:rPr>
        <w:t>1</w:t>
      </w:r>
      <w:r w:rsidR="007345AF" w:rsidRPr="00CC5E23">
        <w:rPr>
          <w:rFonts w:ascii="Times New Roman" w:eastAsiaTheme="minorEastAsia" w:hAnsiTheme="minorEastAsia" w:hint="eastAsia"/>
          <w:sz w:val="21"/>
          <w:szCs w:val="21"/>
        </w:rPr>
        <w:t>日的投资单位卖出价</w:t>
      </w:r>
      <w:r w:rsidRPr="00CC5E23">
        <w:rPr>
          <w:rFonts w:ascii="Times New Roman" w:eastAsiaTheme="minorEastAsia" w:hAnsiTheme="minorEastAsia" w:hint="eastAsia"/>
          <w:sz w:val="21"/>
          <w:szCs w:val="21"/>
        </w:rPr>
        <w:t>，本期期末卖出价为</w:t>
      </w:r>
      <w:r w:rsidRPr="00CC5E23">
        <w:rPr>
          <w:rFonts w:ascii="Times New Roman" w:eastAsiaTheme="minorEastAsia" w:hAnsi="Times New Roman"/>
          <w:sz w:val="21"/>
          <w:szCs w:val="21"/>
        </w:rPr>
        <w:t>201</w:t>
      </w:r>
      <w:r>
        <w:rPr>
          <w:rFonts w:ascii="Times New Roman" w:eastAsiaTheme="minorEastAsia" w:hAnsi="Times New Roman" w:hint="eastAsia"/>
          <w:sz w:val="21"/>
          <w:szCs w:val="21"/>
        </w:rPr>
        <w:t>5</w:t>
      </w:r>
      <w:r w:rsidRPr="00CC5E23">
        <w:rPr>
          <w:rFonts w:ascii="Times New Roman" w:eastAsiaTheme="minorEastAsia" w:hAnsiTheme="minorEastAsia" w:hint="eastAsia"/>
          <w:sz w:val="21"/>
          <w:szCs w:val="21"/>
        </w:rPr>
        <w:t>年</w:t>
      </w:r>
      <w:r w:rsidR="007345AF">
        <w:rPr>
          <w:rFonts w:ascii="Times New Roman" w:eastAsiaTheme="minorEastAsia" w:hAnsi="Times New Roman" w:hint="eastAsia"/>
          <w:sz w:val="21"/>
          <w:szCs w:val="21"/>
        </w:rPr>
        <w:t>6</w:t>
      </w:r>
      <w:r w:rsidRPr="00CC5E23">
        <w:rPr>
          <w:rFonts w:ascii="Times New Roman" w:eastAsiaTheme="minorEastAsia" w:hAnsiTheme="minorEastAsia" w:hint="eastAsia"/>
          <w:sz w:val="21"/>
          <w:szCs w:val="21"/>
        </w:rPr>
        <w:t>月</w:t>
      </w:r>
      <w:r w:rsidR="007345AF">
        <w:rPr>
          <w:rFonts w:ascii="Times New Roman" w:eastAsiaTheme="minorEastAsia" w:hAnsi="Times New Roman" w:hint="eastAsia"/>
          <w:sz w:val="21"/>
          <w:szCs w:val="21"/>
        </w:rPr>
        <w:t>30</w:t>
      </w:r>
      <w:r w:rsidRPr="00CC5E23">
        <w:rPr>
          <w:rFonts w:ascii="Times New Roman" w:eastAsiaTheme="minorEastAsia" w:hAnsiTheme="minorEastAsia" w:hint="eastAsia"/>
          <w:sz w:val="21"/>
          <w:szCs w:val="21"/>
        </w:rPr>
        <w:t>日的投资单位卖出价。</w:t>
      </w:r>
    </w:p>
    <w:p w:rsidR="007C7429" w:rsidRDefault="007C7429" w:rsidP="007C7429">
      <w:pPr>
        <w:spacing w:line="360" w:lineRule="auto"/>
        <w:ind w:firstLine="420"/>
        <w:jc w:val="both"/>
        <w:rPr>
          <w:rFonts w:ascii="Times New Roman" w:eastAsiaTheme="minorEastAsia" w:hAnsi="Times New Roman"/>
          <w:sz w:val="20"/>
          <w:szCs w:val="20"/>
        </w:rPr>
      </w:pPr>
    </w:p>
    <w:p w:rsidR="00E17565" w:rsidRDefault="00E17565" w:rsidP="007C7429">
      <w:pPr>
        <w:spacing w:line="360" w:lineRule="auto"/>
        <w:ind w:firstLine="420"/>
        <w:jc w:val="both"/>
        <w:rPr>
          <w:rFonts w:ascii="Times New Roman" w:eastAsiaTheme="minorEastAsia" w:hAnsi="Times New Roman"/>
          <w:sz w:val="20"/>
          <w:szCs w:val="20"/>
        </w:rPr>
      </w:pPr>
    </w:p>
    <w:p w:rsidR="00E17565" w:rsidRDefault="00E17565" w:rsidP="007C7429">
      <w:pPr>
        <w:spacing w:line="360" w:lineRule="auto"/>
        <w:ind w:firstLine="420"/>
        <w:jc w:val="both"/>
        <w:rPr>
          <w:rFonts w:ascii="Times New Roman" w:eastAsiaTheme="minorEastAsia" w:hAnsi="Times New Roman"/>
          <w:sz w:val="20"/>
          <w:szCs w:val="20"/>
        </w:rPr>
      </w:pPr>
    </w:p>
    <w:p w:rsidR="00E17565" w:rsidRPr="007C7429" w:rsidRDefault="00E17565" w:rsidP="00612C9D">
      <w:pPr>
        <w:spacing w:line="360" w:lineRule="auto"/>
        <w:jc w:val="both"/>
        <w:rPr>
          <w:rFonts w:ascii="Times New Roman" w:eastAsiaTheme="minorEastAsia" w:hAnsi="Times New Roman"/>
          <w:sz w:val="20"/>
          <w:szCs w:val="20"/>
        </w:rPr>
      </w:pPr>
    </w:p>
    <w:p w:rsidR="00315156" w:rsidRPr="007511D3" w:rsidRDefault="00CC5E23" w:rsidP="00AF546A">
      <w:pPr>
        <w:spacing w:line="360" w:lineRule="auto"/>
        <w:rPr>
          <w:rFonts w:ascii="Times New Roman" w:eastAsiaTheme="minorEastAsia" w:hAnsi="Times New Roman"/>
          <w:sz w:val="21"/>
          <w:szCs w:val="21"/>
          <w:lang w:val="en-US"/>
        </w:rPr>
      </w:pPr>
      <w:r w:rsidRPr="00CC5E23">
        <w:rPr>
          <w:rFonts w:ascii="Times New Roman" w:eastAsiaTheme="minorEastAsia" w:hAnsiTheme="minorEastAsia" w:hint="eastAsia"/>
          <w:sz w:val="21"/>
          <w:szCs w:val="21"/>
          <w:lang w:val="en-US"/>
        </w:rPr>
        <w:lastRenderedPageBreak/>
        <w:t>图</w:t>
      </w:r>
      <w:r w:rsidRPr="00CC5E23">
        <w:rPr>
          <w:rFonts w:ascii="Times New Roman" w:eastAsiaTheme="minorEastAsia" w:hAnsi="Times New Roman"/>
          <w:sz w:val="21"/>
          <w:szCs w:val="21"/>
          <w:lang w:val="en-US"/>
        </w:rPr>
        <w:t>1</w:t>
      </w:r>
      <w:r w:rsidRPr="00CC5E23">
        <w:rPr>
          <w:rFonts w:ascii="Times New Roman" w:eastAsiaTheme="minorEastAsia" w:hAnsiTheme="minorEastAsia" w:hint="eastAsia"/>
          <w:sz w:val="21"/>
          <w:szCs w:val="21"/>
          <w:lang w:val="en-US"/>
        </w:rPr>
        <w:t>：</w:t>
      </w:r>
      <w:r w:rsidR="004E4A68">
        <w:rPr>
          <w:rFonts w:ascii="Times New Roman" w:eastAsiaTheme="minorEastAsia" w:hAnsiTheme="minorEastAsia" w:hint="eastAsia"/>
          <w:sz w:val="21"/>
          <w:szCs w:val="21"/>
          <w:lang w:val="en-US"/>
        </w:rPr>
        <w:t>稳健</w:t>
      </w:r>
      <w:r w:rsidRPr="00CC5E23">
        <w:rPr>
          <w:rFonts w:ascii="Times New Roman" w:eastAsiaTheme="minorEastAsia" w:hAnsiTheme="minorEastAsia" w:hint="eastAsia"/>
          <w:sz w:val="21"/>
          <w:szCs w:val="21"/>
          <w:lang w:val="en-US"/>
        </w:rPr>
        <w:t>型投资账户单位净值变动图</w:t>
      </w:r>
    </w:p>
    <w:p w:rsidR="00DE10DE" w:rsidRDefault="0046757A" w:rsidP="00DE10DE">
      <w:pPr>
        <w:spacing w:line="360" w:lineRule="auto"/>
        <w:jc w:val="right"/>
        <w:rPr>
          <w:rFonts w:ascii="Times New Roman" w:eastAsiaTheme="minorEastAsia" w:hAnsiTheme="minorEastAsia"/>
          <w:sz w:val="21"/>
          <w:szCs w:val="21"/>
          <w:lang w:val="en-US"/>
        </w:rPr>
      </w:pPr>
      <w:r>
        <w:rPr>
          <w:rFonts w:ascii="Times New Roman" w:eastAsiaTheme="minorEastAsia" w:hAnsiTheme="minorEastAsia" w:hint="eastAsia"/>
          <w:sz w:val="21"/>
          <w:szCs w:val="21"/>
          <w:lang w:val="en-US"/>
        </w:rPr>
        <w:t>单位：</w:t>
      </w:r>
      <w:r w:rsidR="00FC5DC3">
        <w:rPr>
          <w:rFonts w:ascii="Times New Roman" w:eastAsiaTheme="minorEastAsia" w:hAnsiTheme="minorEastAsia" w:hint="eastAsia"/>
          <w:sz w:val="21"/>
          <w:szCs w:val="21"/>
          <w:lang w:val="en-US"/>
        </w:rPr>
        <w:t>元</w:t>
      </w:r>
    </w:p>
    <w:p w:rsidR="00FA5863" w:rsidRPr="0046757A" w:rsidRDefault="00155321" w:rsidP="00B83C2D">
      <w:pPr>
        <w:spacing w:line="360" w:lineRule="auto"/>
        <w:jc w:val="center"/>
        <w:rPr>
          <w:rFonts w:ascii="Times New Roman" w:eastAsiaTheme="minorEastAsia" w:hAnsiTheme="minorEastAsia"/>
          <w:sz w:val="21"/>
          <w:szCs w:val="21"/>
          <w:lang w:val="en-US"/>
        </w:rPr>
      </w:pPr>
      <w:r w:rsidRPr="00155321">
        <w:rPr>
          <w:rFonts w:ascii="Times New Roman" w:eastAsiaTheme="minorEastAsia" w:hAnsiTheme="minorEastAsia"/>
          <w:noProof/>
          <w:sz w:val="21"/>
          <w:szCs w:val="21"/>
          <w:lang w:val="en-US"/>
        </w:rPr>
        <w:drawing>
          <wp:inline distT="0" distB="0" distL="0" distR="0">
            <wp:extent cx="5391150" cy="2743200"/>
            <wp:effectExtent l="0" t="0" r="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A2497" w:rsidRDefault="009A2497">
      <w:pPr>
        <w:spacing w:line="360" w:lineRule="auto"/>
        <w:jc w:val="both"/>
        <w:rPr>
          <w:rFonts w:ascii="Times New Roman" w:eastAsiaTheme="minorEastAsia" w:hAnsi="Times New Roman"/>
          <w:sz w:val="21"/>
          <w:szCs w:val="21"/>
          <w:lang w:val="en-US"/>
        </w:rPr>
      </w:pPr>
    </w:p>
    <w:p w:rsidR="00DD739D" w:rsidRDefault="00CC5E23" w:rsidP="009A2497">
      <w:pPr>
        <w:spacing w:line="360" w:lineRule="auto"/>
        <w:ind w:firstLineChars="200" w:firstLine="422"/>
        <w:jc w:val="both"/>
        <w:rPr>
          <w:rFonts w:ascii="Times New Roman" w:eastAsiaTheme="minorEastAsia" w:hAnsi="Times New Roman"/>
          <w:b/>
          <w:sz w:val="21"/>
          <w:szCs w:val="21"/>
          <w:lang w:val="en-US"/>
        </w:rPr>
      </w:pPr>
      <w:r w:rsidRPr="00CC5E23">
        <w:rPr>
          <w:rFonts w:ascii="Times New Roman" w:eastAsiaTheme="minorEastAsia" w:hAnsiTheme="minorEastAsia" w:hint="eastAsia"/>
          <w:b/>
          <w:sz w:val="21"/>
          <w:szCs w:val="21"/>
          <w:lang w:val="en-US"/>
        </w:rPr>
        <w:t>三、简要财务状况</w:t>
      </w:r>
    </w:p>
    <w:p w:rsidR="00DD739D" w:rsidRPr="005B044C" w:rsidRDefault="00CC5E23" w:rsidP="005B044C">
      <w:pPr>
        <w:tabs>
          <w:tab w:val="left" w:pos="851"/>
        </w:tabs>
        <w:spacing w:line="360" w:lineRule="auto"/>
        <w:ind w:firstLineChars="200" w:firstLine="420"/>
        <w:jc w:val="both"/>
        <w:rPr>
          <w:rFonts w:ascii="Times New Roman" w:eastAsiaTheme="minorEastAsia" w:hAnsiTheme="minorEastAsia"/>
          <w:sz w:val="21"/>
          <w:szCs w:val="21"/>
        </w:rPr>
      </w:pPr>
      <w:r w:rsidRPr="00CC5E23">
        <w:rPr>
          <w:rFonts w:ascii="Times New Roman" w:eastAsiaTheme="minorEastAsia" w:hAnsiTheme="minorEastAsia" w:hint="eastAsia"/>
          <w:sz w:val="21"/>
          <w:szCs w:val="21"/>
        </w:rPr>
        <w:t>截至</w:t>
      </w:r>
      <w:r w:rsidRPr="00CC5E23">
        <w:rPr>
          <w:rFonts w:ascii="Times New Roman" w:eastAsiaTheme="minorEastAsia" w:hAnsi="Times New Roman"/>
          <w:sz w:val="21"/>
          <w:szCs w:val="21"/>
        </w:rPr>
        <w:t>201</w:t>
      </w:r>
      <w:r w:rsidR="00615327">
        <w:rPr>
          <w:rFonts w:ascii="Times New Roman" w:eastAsiaTheme="minorEastAsia" w:hAnsi="Times New Roman" w:hint="eastAsia"/>
          <w:sz w:val="21"/>
          <w:szCs w:val="21"/>
        </w:rPr>
        <w:t>5</w:t>
      </w:r>
      <w:r w:rsidRPr="00CC5E23">
        <w:rPr>
          <w:rFonts w:ascii="Times New Roman" w:eastAsiaTheme="minorEastAsia" w:hAnsiTheme="minorEastAsia" w:hint="eastAsia"/>
          <w:sz w:val="21"/>
          <w:szCs w:val="21"/>
        </w:rPr>
        <w:t>年</w:t>
      </w:r>
      <w:r w:rsidR="00615327">
        <w:rPr>
          <w:rFonts w:ascii="Times New Roman" w:eastAsiaTheme="minorEastAsia" w:hAnsiTheme="minorEastAsia" w:hint="eastAsia"/>
          <w:sz w:val="21"/>
          <w:szCs w:val="21"/>
        </w:rPr>
        <w:t>6</w:t>
      </w:r>
      <w:r w:rsidRPr="00CC5E23">
        <w:rPr>
          <w:rFonts w:ascii="Times New Roman" w:eastAsiaTheme="minorEastAsia" w:hAnsiTheme="minorEastAsia" w:hint="eastAsia"/>
          <w:sz w:val="21"/>
          <w:szCs w:val="21"/>
        </w:rPr>
        <w:t>月</w:t>
      </w:r>
      <w:r w:rsidR="00615327">
        <w:rPr>
          <w:rFonts w:ascii="Times New Roman" w:eastAsiaTheme="minorEastAsia" w:hAnsi="Times New Roman" w:hint="eastAsia"/>
          <w:sz w:val="21"/>
          <w:szCs w:val="21"/>
        </w:rPr>
        <w:t>30</w:t>
      </w:r>
      <w:r w:rsidRPr="00CC5E23">
        <w:rPr>
          <w:rFonts w:ascii="Times New Roman" w:eastAsiaTheme="minorEastAsia" w:hAnsiTheme="minorEastAsia" w:hint="eastAsia"/>
          <w:sz w:val="21"/>
          <w:szCs w:val="21"/>
        </w:rPr>
        <w:t>日，国华</w:t>
      </w:r>
      <w:r w:rsidR="004E4A68">
        <w:rPr>
          <w:rFonts w:ascii="Times New Roman" w:eastAsiaTheme="minorEastAsia" w:hAnsiTheme="minorEastAsia" w:hint="eastAsia"/>
          <w:sz w:val="21"/>
          <w:szCs w:val="21"/>
        </w:rPr>
        <w:t>稳健</w:t>
      </w:r>
      <w:r w:rsidR="000258B3">
        <w:rPr>
          <w:rFonts w:ascii="Times New Roman" w:eastAsiaTheme="minorEastAsia" w:hAnsiTheme="minorEastAsia" w:hint="eastAsia"/>
          <w:sz w:val="21"/>
          <w:szCs w:val="21"/>
        </w:rPr>
        <w:t>型投资账户资产总额</w:t>
      </w:r>
      <w:r w:rsidR="00AB5006" w:rsidRPr="00AB5006">
        <w:rPr>
          <w:rFonts w:ascii="Times New Roman" w:eastAsiaTheme="minorEastAsia" w:hAnsi="Times New Roman" w:hint="eastAsia"/>
          <w:sz w:val="21"/>
          <w:szCs w:val="21"/>
        </w:rPr>
        <w:t xml:space="preserve">193,979,429.04 </w:t>
      </w:r>
      <w:r w:rsidRPr="00CC5E23">
        <w:rPr>
          <w:rFonts w:ascii="Times New Roman" w:eastAsiaTheme="minorEastAsia" w:hAnsiTheme="minorEastAsia" w:hint="eastAsia"/>
          <w:sz w:val="21"/>
          <w:szCs w:val="21"/>
        </w:rPr>
        <w:t>元，负债</w:t>
      </w:r>
      <w:r w:rsidR="00AB5006" w:rsidRPr="00AB5006">
        <w:rPr>
          <w:rFonts w:ascii="Times New Roman" w:eastAsiaTheme="minorEastAsia" w:hAnsi="Times New Roman" w:hint="eastAsia"/>
          <w:sz w:val="21"/>
          <w:szCs w:val="21"/>
        </w:rPr>
        <w:t xml:space="preserve">29,379,164.34 </w:t>
      </w:r>
      <w:r w:rsidRPr="00CC5E23">
        <w:rPr>
          <w:rFonts w:ascii="Times New Roman" w:eastAsiaTheme="minorEastAsia" w:hAnsiTheme="minorEastAsia" w:hint="eastAsia"/>
          <w:sz w:val="21"/>
          <w:szCs w:val="21"/>
        </w:rPr>
        <w:t>元，投资账户持有人权益总额</w:t>
      </w:r>
      <w:r w:rsidR="00AB5006" w:rsidRPr="00AB5006">
        <w:rPr>
          <w:rFonts w:ascii="Times New Roman" w:eastAsiaTheme="minorEastAsia" w:hAnsi="Times New Roman" w:hint="eastAsia"/>
          <w:sz w:val="21"/>
          <w:szCs w:val="21"/>
        </w:rPr>
        <w:t xml:space="preserve">164,600,264.70 </w:t>
      </w:r>
      <w:r w:rsidRPr="00CC5E23">
        <w:rPr>
          <w:rFonts w:ascii="Times New Roman" w:eastAsiaTheme="minorEastAsia" w:hAnsiTheme="minorEastAsia" w:hint="eastAsia"/>
          <w:sz w:val="21"/>
          <w:szCs w:val="21"/>
        </w:rPr>
        <w:t>元。账户已实现累计收益</w:t>
      </w:r>
      <w:r w:rsidR="00C10F01">
        <w:rPr>
          <w:rFonts w:ascii="Times New Roman" w:eastAsiaTheme="minorEastAsia" w:hAnsi="Times New Roman" w:hint="eastAsia"/>
          <w:sz w:val="21"/>
          <w:szCs w:val="21"/>
        </w:rPr>
        <w:t xml:space="preserve">  </w:t>
      </w:r>
      <w:r w:rsidR="00AD1EC3" w:rsidRPr="00AD1EC3">
        <w:rPr>
          <w:rFonts w:ascii="Times New Roman" w:eastAsiaTheme="minorEastAsia" w:hAnsi="Times New Roman" w:hint="eastAsia"/>
          <w:sz w:val="21"/>
          <w:szCs w:val="21"/>
        </w:rPr>
        <w:t xml:space="preserve">   18,434,043.36 </w:t>
      </w:r>
      <w:r w:rsidRPr="00CC5E23">
        <w:rPr>
          <w:rFonts w:ascii="Times New Roman" w:eastAsiaTheme="minorEastAsia" w:hAnsiTheme="minorEastAsia" w:hint="eastAsia"/>
          <w:sz w:val="21"/>
          <w:szCs w:val="21"/>
        </w:rPr>
        <w:t>元，其中利息收入</w:t>
      </w:r>
      <w:r w:rsidR="0087554F" w:rsidRPr="0087554F">
        <w:rPr>
          <w:rFonts w:ascii="Times New Roman" w:eastAsiaTheme="minorEastAsia" w:hAnsiTheme="minorEastAsia" w:hint="eastAsia"/>
          <w:sz w:val="21"/>
          <w:szCs w:val="21"/>
        </w:rPr>
        <w:t xml:space="preserve">17,923,758.38 </w:t>
      </w:r>
      <w:r w:rsidRPr="00CC5E23">
        <w:rPr>
          <w:rFonts w:ascii="Times New Roman" w:eastAsiaTheme="minorEastAsia" w:hAnsiTheme="minorEastAsia" w:hint="eastAsia"/>
          <w:sz w:val="21"/>
          <w:szCs w:val="21"/>
        </w:rPr>
        <w:t>元，红利收入</w:t>
      </w:r>
      <w:r w:rsidR="0087554F" w:rsidRPr="0087554F">
        <w:rPr>
          <w:rFonts w:ascii="Times New Roman" w:eastAsiaTheme="minorEastAsia" w:hAnsiTheme="minorEastAsia" w:hint="eastAsia"/>
          <w:sz w:val="21"/>
          <w:szCs w:val="21"/>
        </w:rPr>
        <w:t>510,284.98</w:t>
      </w:r>
      <w:r w:rsidRPr="00CC5E23">
        <w:rPr>
          <w:rFonts w:ascii="Times New Roman" w:eastAsiaTheme="minorEastAsia" w:hAnsiTheme="minorEastAsia" w:hint="eastAsia"/>
          <w:sz w:val="21"/>
          <w:szCs w:val="21"/>
        </w:rPr>
        <w:t>元。</w:t>
      </w:r>
      <w:r w:rsidR="0050640A" w:rsidRPr="00C27D30">
        <w:rPr>
          <w:rFonts w:ascii="Times New Roman" w:eastAsiaTheme="minorEastAsia" w:hAnsiTheme="minorEastAsia"/>
          <w:sz w:val="21"/>
          <w:szCs w:val="21"/>
        </w:rPr>
        <w:t>本年度经营收入</w:t>
      </w:r>
      <w:r w:rsidR="00B448C6" w:rsidRPr="00B448C6">
        <w:rPr>
          <w:rFonts w:ascii="Times New Roman" w:eastAsiaTheme="minorEastAsia" w:hAnsi="Times New Roman" w:hint="eastAsia"/>
          <w:sz w:val="21"/>
          <w:szCs w:val="21"/>
        </w:rPr>
        <w:t>8,928,561.95</w:t>
      </w:r>
      <w:r w:rsidR="0050640A" w:rsidRPr="00C27D30">
        <w:rPr>
          <w:rFonts w:ascii="Times New Roman" w:eastAsiaTheme="minorEastAsia" w:hAnsiTheme="minorEastAsia"/>
          <w:sz w:val="21"/>
          <w:szCs w:val="21"/>
        </w:rPr>
        <w:t>元</w:t>
      </w:r>
      <w:r w:rsidR="001D7AC7">
        <w:rPr>
          <w:rFonts w:ascii="Times New Roman" w:eastAsiaTheme="minorEastAsia" w:hAnsi="Times New Roman" w:hint="eastAsia"/>
          <w:sz w:val="21"/>
          <w:szCs w:val="21"/>
        </w:rPr>
        <w:t>，</w:t>
      </w:r>
      <w:r w:rsidR="0050640A" w:rsidRPr="00C27D30">
        <w:rPr>
          <w:rFonts w:ascii="Times New Roman" w:eastAsiaTheme="minorEastAsia" w:hAnsiTheme="minorEastAsia"/>
          <w:sz w:val="21"/>
          <w:szCs w:val="21"/>
        </w:rPr>
        <w:t>其中利息收入</w:t>
      </w:r>
      <w:r w:rsidR="00B448C6" w:rsidRPr="00B448C6">
        <w:rPr>
          <w:rFonts w:ascii="Times New Roman" w:eastAsiaTheme="minorEastAsia" w:hAnsiTheme="minorEastAsia" w:hint="eastAsia"/>
          <w:sz w:val="21"/>
          <w:szCs w:val="21"/>
        </w:rPr>
        <w:t>8,656,517.10</w:t>
      </w:r>
      <w:r w:rsidR="0050640A" w:rsidRPr="00C27D30">
        <w:rPr>
          <w:rFonts w:ascii="Times New Roman" w:eastAsiaTheme="minorEastAsia" w:hAnsiTheme="minorEastAsia"/>
          <w:sz w:val="21"/>
          <w:szCs w:val="21"/>
        </w:rPr>
        <w:t>元，红利收入</w:t>
      </w:r>
      <w:r w:rsidR="00B448C6" w:rsidRPr="00B448C6">
        <w:rPr>
          <w:rFonts w:ascii="Times New Roman" w:eastAsiaTheme="minorEastAsia" w:hAnsiTheme="minorEastAsia" w:hint="eastAsia"/>
          <w:sz w:val="21"/>
          <w:szCs w:val="21"/>
        </w:rPr>
        <w:t>272,044.85</w:t>
      </w:r>
      <w:r w:rsidR="0050640A" w:rsidRPr="00C27D30">
        <w:rPr>
          <w:rFonts w:ascii="Times New Roman" w:eastAsiaTheme="minorEastAsia" w:hAnsiTheme="minorEastAsia"/>
          <w:sz w:val="21"/>
          <w:szCs w:val="21"/>
        </w:rPr>
        <w:t>元。</w:t>
      </w:r>
      <w:r w:rsidR="00D12ACF">
        <w:rPr>
          <w:rFonts w:ascii="Times New Roman" w:eastAsiaTheme="minorEastAsia" w:hAnsiTheme="minorEastAsia" w:hint="eastAsia"/>
          <w:sz w:val="21"/>
          <w:szCs w:val="21"/>
        </w:rPr>
        <w:t>本年度</w:t>
      </w:r>
      <w:r w:rsidR="0050640A" w:rsidRPr="00C27D30">
        <w:rPr>
          <w:rFonts w:ascii="Times New Roman" w:eastAsiaTheme="minorEastAsia" w:hAnsiTheme="minorEastAsia"/>
          <w:sz w:val="21"/>
          <w:szCs w:val="21"/>
        </w:rPr>
        <w:t>经营支出</w:t>
      </w:r>
      <w:r w:rsidR="0050640A">
        <w:rPr>
          <w:rFonts w:ascii="Times New Roman" w:eastAsiaTheme="minorEastAsia" w:hAnsi="Times New Roman" w:hint="eastAsia"/>
          <w:sz w:val="21"/>
          <w:szCs w:val="21"/>
        </w:rPr>
        <w:t xml:space="preserve"> </w:t>
      </w:r>
      <w:r w:rsidR="009D69BF" w:rsidRPr="009D69BF">
        <w:rPr>
          <w:rFonts w:ascii="Times New Roman" w:eastAsiaTheme="minorEastAsia" w:hAnsi="Times New Roman" w:hint="eastAsia"/>
          <w:sz w:val="21"/>
          <w:szCs w:val="21"/>
        </w:rPr>
        <w:t>2,013,357.27</w:t>
      </w:r>
      <w:r w:rsidR="0050640A" w:rsidRPr="00C27D30">
        <w:rPr>
          <w:rFonts w:ascii="Times New Roman" w:eastAsiaTheme="minorEastAsia" w:hAnsiTheme="minorEastAsia"/>
          <w:sz w:val="21"/>
          <w:szCs w:val="21"/>
        </w:rPr>
        <w:t>元，其中账户资产管理费支出</w:t>
      </w:r>
      <w:r w:rsidR="00C749CC" w:rsidRPr="00C749CC">
        <w:rPr>
          <w:rFonts w:ascii="Times New Roman" w:eastAsiaTheme="minorEastAsia" w:hAnsiTheme="minorEastAsia" w:hint="eastAsia"/>
          <w:sz w:val="21"/>
          <w:szCs w:val="21"/>
        </w:rPr>
        <w:t>1</w:t>
      </w:r>
      <w:r w:rsidR="005B044C">
        <w:rPr>
          <w:rFonts w:ascii="Times New Roman" w:eastAsiaTheme="minorEastAsia" w:hAnsiTheme="minorEastAsia" w:hint="eastAsia"/>
          <w:sz w:val="21"/>
          <w:szCs w:val="21"/>
        </w:rPr>
        <w:t>,</w:t>
      </w:r>
      <w:r w:rsidR="00C749CC" w:rsidRPr="00C749CC">
        <w:rPr>
          <w:rFonts w:ascii="Times New Roman" w:eastAsiaTheme="minorEastAsia" w:hAnsiTheme="minorEastAsia" w:hint="eastAsia"/>
          <w:sz w:val="21"/>
          <w:szCs w:val="21"/>
        </w:rPr>
        <w:t>968</w:t>
      </w:r>
      <w:r w:rsidR="005B044C">
        <w:rPr>
          <w:rFonts w:ascii="Times New Roman" w:eastAsiaTheme="minorEastAsia" w:hAnsiTheme="minorEastAsia" w:hint="eastAsia"/>
          <w:sz w:val="21"/>
          <w:szCs w:val="21"/>
        </w:rPr>
        <w:t>,</w:t>
      </w:r>
      <w:r w:rsidR="00C749CC" w:rsidRPr="00C749CC">
        <w:rPr>
          <w:rFonts w:ascii="Times New Roman" w:eastAsiaTheme="minorEastAsia" w:hAnsiTheme="minorEastAsia" w:hint="eastAsia"/>
          <w:sz w:val="21"/>
          <w:szCs w:val="21"/>
        </w:rPr>
        <w:t>146.43</w:t>
      </w:r>
      <w:r w:rsidR="0050640A" w:rsidRPr="00C27D30">
        <w:rPr>
          <w:rFonts w:ascii="Times New Roman" w:eastAsiaTheme="minorEastAsia" w:hAnsiTheme="minorEastAsia"/>
          <w:sz w:val="21"/>
          <w:szCs w:val="21"/>
        </w:rPr>
        <w:t>元，其他费用支出</w:t>
      </w:r>
      <w:r w:rsidR="005B044C" w:rsidRPr="005B044C">
        <w:rPr>
          <w:rFonts w:ascii="Times New Roman" w:eastAsiaTheme="minorEastAsia" w:hAnsiTheme="minorEastAsia" w:hint="eastAsia"/>
          <w:sz w:val="21"/>
          <w:szCs w:val="21"/>
        </w:rPr>
        <w:t>45</w:t>
      </w:r>
      <w:r w:rsidR="005B044C">
        <w:rPr>
          <w:rFonts w:ascii="Times New Roman" w:eastAsiaTheme="minorEastAsia" w:hAnsiTheme="minorEastAsia" w:hint="eastAsia"/>
          <w:sz w:val="21"/>
          <w:szCs w:val="21"/>
        </w:rPr>
        <w:t>,</w:t>
      </w:r>
      <w:r w:rsidR="005B044C" w:rsidRPr="005B044C">
        <w:rPr>
          <w:rFonts w:ascii="Times New Roman" w:eastAsiaTheme="minorEastAsia" w:hAnsiTheme="minorEastAsia" w:hint="eastAsia"/>
          <w:sz w:val="21"/>
          <w:szCs w:val="21"/>
        </w:rPr>
        <w:t>210.84</w:t>
      </w:r>
      <w:r w:rsidR="0050640A" w:rsidRPr="00C27D30">
        <w:rPr>
          <w:rFonts w:ascii="Times New Roman" w:eastAsiaTheme="minorEastAsia" w:hAnsiTheme="minorEastAsia"/>
          <w:sz w:val="21"/>
          <w:szCs w:val="21"/>
        </w:rPr>
        <w:t>元。</w:t>
      </w:r>
      <w:r w:rsidR="00D12ACF">
        <w:rPr>
          <w:rFonts w:ascii="Times New Roman" w:eastAsiaTheme="minorEastAsia" w:hAnsiTheme="minorEastAsia" w:hint="eastAsia"/>
          <w:sz w:val="21"/>
          <w:szCs w:val="21"/>
        </w:rPr>
        <w:t>本年度</w:t>
      </w:r>
      <w:r w:rsidR="0050640A" w:rsidRPr="00C27D30">
        <w:rPr>
          <w:rFonts w:ascii="Times New Roman" w:eastAsiaTheme="minorEastAsia" w:hAnsiTheme="minorEastAsia"/>
          <w:sz w:val="21"/>
          <w:szCs w:val="21"/>
        </w:rPr>
        <w:t>已实现净收益</w:t>
      </w:r>
      <w:r w:rsidR="005B044C" w:rsidRPr="005B044C">
        <w:rPr>
          <w:rFonts w:ascii="Times New Roman" w:eastAsiaTheme="minorEastAsia" w:hAnsiTheme="minorEastAsia" w:hint="eastAsia"/>
          <w:sz w:val="21"/>
          <w:szCs w:val="21"/>
        </w:rPr>
        <w:t xml:space="preserve">6,915,204.68 </w:t>
      </w:r>
      <w:r w:rsidR="0050640A" w:rsidRPr="00C27D30">
        <w:rPr>
          <w:rFonts w:ascii="Times New Roman" w:eastAsiaTheme="minorEastAsia" w:hAnsiTheme="minorEastAsia"/>
          <w:sz w:val="21"/>
          <w:szCs w:val="21"/>
        </w:rPr>
        <w:t>元。</w:t>
      </w:r>
    </w:p>
    <w:p w:rsidR="00FC12C5" w:rsidRPr="002B45B9" w:rsidRDefault="00FC12C5" w:rsidP="0087554F">
      <w:pPr>
        <w:tabs>
          <w:tab w:val="left" w:pos="851"/>
        </w:tabs>
        <w:spacing w:line="360" w:lineRule="auto"/>
        <w:ind w:firstLineChars="200" w:firstLine="420"/>
        <w:jc w:val="both"/>
        <w:rPr>
          <w:rFonts w:ascii="Times New Roman" w:eastAsiaTheme="minorEastAsia" w:hAnsiTheme="minorEastAsia"/>
          <w:sz w:val="21"/>
          <w:szCs w:val="21"/>
        </w:rPr>
      </w:pPr>
    </w:p>
    <w:p w:rsidR="00DD739D" w:rsidRDefault="00CC5E23">
      <w:pPr>
        <w:spacing w:line="360" w:lineRule="auto"/>
        <w:ind w:firstLineChars="196" w:firstLine="413"/>
        <w:contextualSpacing/>
        <w:jc w:val="both"/>
        <w:rPr>
          <w:rFonts w:ascii="Times New Roman" w:eastAsiaTheme="minorEastAsia" w:hAnsiTheme="minorEastAsia"/>
          <w:sz w:val="21"/>
          <w:szCs w:val="21"/>
          <w:lang w:val="en-US"/>
        </w:rPr>
      </w:pPr>
      <w:r w:rsidRPr="00CC5E23">
        <w:rPr>
          <w:rFonts w:ascii="Times New Roman" w:eastAsiaTheme="minorEastAsia" w:hAnsiTheme="minorEastAsia" w:hint="eastAsia"/>
          <w:b/>
          <w:sz w:val="21"/>
          <w:szCs w:val="21"/>
          <w:lang w:val="en-US"/>
        </w:rPr>
        <w:t>四、资产管理费情况</w:t>
      </w:r>
      <w:r w:rsidRPr="00CC5E23">
        <w:rPr>
          <w:rFonts w:ascii="Times New Roman" w:eastAsiaTheme="minorEastAsia" w:hAnsi="Times New Roman"/>
          <w:sz w:val="21"/>
          <w:szCs w:val="21"/>
          <w:lang w:val="en-US"/>
        </w:rPr>
        <w:br/>
      </w:r>
      <w:r w:rsidRPr="00CC5E23">
        <w:rPr>
          <w:rFonts w:ascii="Times New Roman" w:eastAsiaTheme="minorEastAsia" w:hAnsiTheme="minorEastAsia" w:hint="eastAsia"/>
          <w:sz w:val="21"/>
          <w:szCs w:val="21"/>
          <w:lang w:val="en-US"/>
        </w:rPr>
        <w:t xml:space="preserve">　　本公司根据保单条款在每个资产评估日按照投资账户资产净值的一定比例收取资产管理费，资产管理费年费率根据投资账户类型确定，本账户资产管理费年费率为</w:t>
      </w:r>
      <w:r w:rsidR="00EC012A">
        <w:rPr>
          <w:rFonts w:ascii="Times New Roman" w:eastAsiaTheme="minorEastAsia" w:hAnsi="Times New Roman" w:hint="eastAsia"/>
          <w:sz w:val="21"/>
          <w:szCs w:val="21"/>
          <w:lang w:val="en-US"/>
        </w:rPr>
        <w:t>2</w:t>
      </w:r>
      <w:r w:rsidRPr="00CC5E23">
        <w:rPr>
          <w:rFonts w:ascii="Times New Roman" w:eastAsiaTheme="minorEastAsia" w:hAnsi="Times New Roman"/>
          <w:sz w:val="21"/>
          <w:szCs w:val="21"/>
          <w:lang w:val="en-US"/>
        </w:rPr>
        <w:t>%</w:t>
      </w:r>
      <w:r w:rsidRPr="00CC5E23">
        <w:rPr>
          <w:rFonts w:ascii="Times New Roman" w:eastAsiaTheme="minorEastAsia" w:hAnsiTheme="minorEastAsia" w:hint="eastAsia"/>
          <w:sz w:val="21"/>
          <w:szCs w:val="21"/>
          <w:lang w:val="en-US"/>
        </w:rPr>
        <w:t>。</w:t>
      </w:r>
    </w:p>
    <w:p w:rsidR="00CC5E23" w:rsidRPr="002C68E3" w:rsidRDefault="00CC5E23" w:rsidP="00D109EA">
      <w:pPr>
        <w:spacing w:line="360" w:lineRule="auto"/>
        <w:ind w:firstLineChars="196" w:firstLine="412"/>
        <w:contextualSpacing/>
        <w:jc w:val="both"/>
        <w:rPr>
          <w:rFonts w:ascii="Times New Roman" w:eastAsiaTheme="minorEastAsia" w:hAnsiTheme="minorEastAsia"/>
          <w:sz w:val="21"/>
          <w:szCs w:val="21"/>
        </w:rPr>
      </w:pPr>
      <w:r w:rsidRPr="00CC5E23">
        <w:rPr>
          <w:rFonts w:ascii="Times New Roman" w:eastAsiaTheme="minorEastAsia" w:hAnsiTheme="minorEastAsia" w:hint="eastAsia"/>
          <w:sz w:val="21"/>
          <w:szCs w:val="21"/>
          <w:lang w:val="en-US"/>
        </w:rPr>
        <w:t>截至</w:t>
      </w:r>
      <w:r w:rsidRPr="00CC5E23">
        <w:rPr>
          <w:rFonts w:ascii="Times New Roman" w:eastAsiaTheme="minorEastAsia" w:hAnsi="Times New Roman"/>
          <w:sz w:val="21"/>
          <w:szCs w:val="21"/>
          <w:lang w:val="en-US"/>
        </w:rPr>
        <w:t>201</w:t>
      </w:r>
      <w:r w:rsidR="002C68E3">
        <w:rPr>
          <w:rFonts w:ascii="Times New Roman" w:eastAsiaTheme="minorEastAsia" w:hAnsi="Times New Roman" w:hint="eastAsia"/>
          <w:sz w:val="21"/>
          <w:szCs w:val="21"/>
          <w:lang w:val="en-US"/>
        </w:rPr>
        <w:t>5</w:t>
      </w:r>
      <w:r w:rsidRPr="00CC5E23">
        <w:rPr>
          <w:rFonts w:ascii="Times New Roman" w:eastAsiaTheme="minorEastAsia" w:hAnsiTheme="minorEastAsia" w:hint="eastAsia"/>
          <w:sz w:val="21"/>
          <w:szCs w:val="21"/>
          <w:lang w:val="en-US"/>
        </w:rPr>
        <w:t>年</w:t>
      </w:r>
      <w:r w:rsidR="002C68E3">
        <w:rPr>
          <w:rFonts w:ascii="Times New Roman" w:eastAsiaTheme="minorEastAsia" w:hAnsi="Times New Roman" w:hint="eastAsia"/>
          <w:sz w:val="21"/>
          <w:szCs w:val="21"/>
          <w:lang w:val="en-US"/>
        </w:rPr>
        <w:t>6</w:t>
      </w:r>
      <w:r w:rsidRPr="00CC5E23">
        <w:rPr>
          <w:rFonts w:ascii="Times New Roman" w:eastAsiaTheme="minorEastAsia" w:hAnsiTheme="minorEastAsia" w:hint="eastAsia"/>
          <w:sz w:val="21"/>
          <w:szCs w:val="21"/>
          <w:lang w:val="en-US"/>
        </w:rPr>
        <w:t>月</w:t>
      </w:r>
      <w:r w:rsidR="002C68E3">
        <w:rPr>
          <w:rFonts w:ascii="Times New Roman" w:eastAsiaTheme="minorEastAsia" w:hAnsi="Times New Roman" w:hint="eastAsia"/>
          <w:sz w:val="21"/>
          <w:szCs w:val="21"/>
          <w:lang w:val="en-US"/>
        </w:rPr>
        <w:t>30</w:t>
      </w:r>
      <w:r w:rsidRPr="00CC5E23">
        <w:rPr>
          <w:rFonts w:ascii="Times New Roman" w:eastAsiaTheme="minorEastAsia" w:hAnsiTheme="minorEastAsia" w:hint="eastAsia"/>
          <w:sz w:val="21"/>
          <w:szCs w:val="21"/>
          <w:lang w:val="en-US"/>
        </w:rPr>
        <w:t>日，</w:t>
      </w:r>
      <w:r w:rsidR="00277DEF">
        <w:rPr>
          <w:rFonts w:ascii="Times New Roman" w:eastAsiaTheme="minorEastAsia" w:hAnsiTheme="minorEastAsia" w:hint="eastAsia"/>
          <w:sz w:val="21"/>
          <w:szCs w:val="21"/>
          <w:lang w:val="en-US"/>
        </w:rPr>
        <w:t>本账户</w:t>
      </w:r>
      <w:r w:rsidR="0050640A" w:rsidRPr="00C27D30">
        <w:rPr>
          <w:rFonts w:ascii="Times New Roman" w:eastAsiaTheme="minorEastAsia" w:hAnsiTheme="minorEastAsia"/>
          <w:sz w:val="21"/>
          <w:szCs w:val="21"/>
          <w:lang w:val="en-US"/>
        </w:rPr>
        <w:t>资产管理费</w:t>
      </w:r>
      <w:r w:rsidR="007807B7">
        <w:rPr>
          <w:rFonts w:ascii="Times New Roman" w:eastAsiaTheme="minorEastAsia" w:hAnsiTheme="minorEastAsia" w:hint="eastAsia"/>
          <w:sz w:val="21"/>
          <w:szCs w:val="21"/>
          <w:lang w:val="en-US"/>
        </w:rPr>
        <w:t>累计</w:t>
      </w:r>
      <w:r w:rsidR="0050640A" w:rsidRPr="00C27D30">
        <w:rPr>
          <w:rFonts w:ascii="Times New Roman" w:eastAsiaTheme="minorEastAsia" w:hAnsiTheme="minorEastAsia"/>
          <w:sz w:val="21"/>
          <w:szCs w:val="21"/>
          <w:lang w:val="en-US"/>
        </w:rPr>
        <w:t>为</w:t>
      </w:r>
      <w:r w:rsidR="00D109EA" w:rsidRPr="00D109EA">
        <w:rPr>
          <w:rFonts w:ascii="Times New Roman" w:eastAsiaTheme="minorEastAsia" w:hAnsiTheme="minorEastAsia" w:hint="eastAsia"/>
          <w:sz w:val="21"/>
          <w:szCs w:val="21"/>
        </w:rPr>
        <w:t xml:space="preserve">4,012,170.07 </w:t>
      </w:r>
      <w:r w:rsidR="0050640A" w:rsidRPr="00C27D30">
        <w:rPr>
          <w:rFonts w:ascii="Times New Roman" w:eastAsiaTheme="minorEastAsia" w:hAnsiTheme="minorEastAsia"/>
          <w:sz w:val="21"/>
          <w:szCs w:val="21"/>
        </w:rPr>
        <w:t>元。</w:t>
      </w:r>
    </w:p>
    <w:p w:rsidR="003F6641" w:rsidRPr="002C68E3" w:rsidRDefault="003F6641" w:rsidP="003F6641">
      <w:pPr>
        <w:spacing w:line="360" w:lineRule="auto"/>
        <w:ind w:firstLineChars="196" w:firstLine="412"/>
        <w:contextualSpacing/>
        <w:jc w:val="both"/>
        <w:rPr>
          <w:rFonts w:ascii="Times New Roman" w:eastAsiaTheme="minorEastAsia" w:hAnsi="Times New Roman"/>
          <w:sz w:val="21"/>
          <w:szCs w:val="21"/>
          <w:lang w:val="en-US"/>
        </w:rPr>
      </w:pPr>
    </w:p>
    <w:p w:rsidR="00B14166" w:rsidRDefault="00CC5E23" w:rsidP="00A21B7D">
      <w:pPr>
        <w:spacing w:line="360" w:lineRule="auto"/>
        <w:ind w:firstLineChars="196" w:firstLine="413"/>
        <w:contextualSpacing/>
        <w:jc w:val="both"/>
        <w:rPr>
          <w:rFonts w:ascii="Times New Roman" w:eastAsiaTheme="minorEastAsia" w:hAnsiTheme="minorEastAsia"/>
          <w:b/>
          <w:sz w:val="21"/>
          <w:szCs w:val="21"/>
          <w:lang w:val="en-US"/>
        </w:rPr>
      </w:pPr>
      <w:r w:rsidRPr="00A148D0">
        <w:rPr>
          <w:rFonts w:ascii="Times New Roman" w:eastAsiaTheme="minorEastAsia" w:hAnsiTheme="minorEastAsia" w:hint="eastAsia"/>
          <w:b/>
          <w:sz w:val="21"/>
          <w:szCs w:val="21"/>
          <w:lang w:val="en-US"/>
        </w:rPr>
        <w:t>五、投资组合</w:t>
      </w:r>
    </w:p>
    <w:p w:rsidR="00523A95" w:rsidRPr="001E537E" w:rsidRDefault="0053519B" w:rsidP="001E537E">
      <w:pPr>
        <w:spacing w:line="360" w:lineRule="auto"/>
        <w:ind w:firstLineChars="196" w:firstLine="412"/>
        <w:contextualSpacing/>
        <w:jc w:val="both"/>
        <w:rPr>
          <w:rFonts w:ascii="Times New Roman" w:eastAsiaTheme="minorEastAsia" w:hAnsiTheme="minorEastAsia"/>
          <w:sz w:val="21"/>
          <w:szCs w:val="21"/>
        </w:rPr>
      </w:pPr>
      <w:r w:rsidRPr="0053519B">
        <w:rPr>
          <w:rFonts w:ascii="Times New Roman" w:eastAsiaTheme="minorEastAsia" w:hAnsiTheme="minorEastAsia" w:hint="eastAsia"/>
          <w:sz w:val="21"/>
          <w:szCs w:val="21"/>
          <w:lang w:val="en-US"/>
        </w:rPr>
        <w:t>国华稳健型投资账户主要投资于固定收益类资产，并配置一定比例的流动性资产。截至</w:t>
      </w:r>
      <w:r w:rsidRPr="0053519B">
        <w:rPr>
          <w:rFonts w:ascii="Times New Roman" w:eastAsiaTheme="minorEastAsia" w:hAnsiTheme="minorEastAsia"/>
          <w:sz w:val="21"/>
          <w:szCs w:val="21"/>
          <w:lang w:val="en-US"/>
        </w:rPr>
        <w:t>201</w:t>
      </w:r>
      <w:r w:rsidRPr="0053519B">
        <w:rPr>
          <w:rFonts w:ascii="Times New Roman" w:eastAsiaTheme="minorEastAsia" w:hAnsiTheme="minorEastAsia" w:hint="eastAsia"/>
          <w:sz w:val="21"/>
          <w:szCs w:val="21"/>
          <w:lang w:val="en-US"/>
        </w:rPr>
        <w:t>5</w:t>
      </w:r>
      <w:r w:rsidRPr="0053519B">
        <w:rPr>
          <w:rFonts w:ascii="Times New Roman" w:eastAsiaTheme="minorEastAsia" w:hAnsiTheme="minorEastAsia" w:hint="eastAsia"/>
          <w:sz w:val="21"/>
          <w:szCs w:val="21"/>
          <w:lang w:val="en-US"/>
        </w:rPr>
        <w:t>年</w:t>
      </w:r>
      <w:r w:rsidRPr="0053519B">
        <w:rPr>
          <w:rFonts w:ascii="Times New Roman" w:eastAsiaTheme="minorEastAsia" w:hAnsiTheme="minorEastAsia" w:hint="eastAsia"/>
          <w:sz w:val="21"/>
          <w:szCs w:val="21"/>
          <w:lang w:val="en-US"/>
        </w:rPr>
        <w:t>6</w:t>
      </w:r>
      <w:r w:rsidRPr="0053519B">
        <w:rPr>
          <w:rFonts w:ascii="Times New Roman" w:eastAsiaTheme="minorEastAsia" w:hAnsiTheme="minorEastAsia" w:hint="eastAsia"/>
          <w:sz w:val="21"/>
          <w:szCs w:val="21"/>
          <w:lang w:val="en-US"/>
        </w:rPr>
        <w:t>月</w:t>
      </w:r>
      <w:r w:rsidRPr="0053519B">
        <w:rPr>
          <w:rFonts w:ascii="Times New Roman" w:eastAsiaTheme="minorEastAsia" w:hAnsiTheme="minorEastAsia"/>
          <w:sz w:val="21"/>
          <w:szCs w:val="21"/>
          <w:lang w:val="en-US"/>
        </w:rPr>
        <w:t>3</w:t>
      </w:r>
      <w:r w:rsidRPr="0053519B">
        <w:rPr>
          <w:rFonts w:ascii="Times New Roman" w:eastAsiaTheme="minorEastAsia" w:hAnsiTheme="minorEastAsia" w:hint="eastAsia"/>
          <w:sz w:val="21"/>
          <w:szCs w:val="21"/>
          <w:lang w:val="en-US"/>
        </w:rPr>
        <w:t>0</w:t>
      </w:r>
      <w:r w:rsidRPr="0053519B">
        <w:rPr>
          <w:rFonts w:ascii="Times New Roman" w:eastAsiaTheme="minorEastAsia" w:hAnsiTheme="minorEastAsia" w:hint="eastAsia"/>
          <w:sz w:val="21"/>
          <w:szCs w:val="21"/>
          <w:lang w:val="en-US"/>
        </w:rPr>
        <w:t>日，本账户资产配置情况如下：流动性资产</w:t>
      </w:r>
      <w:r w:rsidRPr="0053519B">
        <w:rPr>
          <w:rFonts w:ascii="Times New Roman" w:eastAsiaTheme="minorEastAsia" w:hAnsiTheme="minorEastAsia" w:hint="eastAsia"/>
          <w:sz w:val="21"/>
          <w:szCs w:val="21"/>
        </w:rPr>
        <w:t xml:space="preserve">42,644,293.64 </w:t>
      </w:r>
      <w:r w:rsidRPr="0053519B">
        <w:rPr>
          <w:rFonts w:ascii="Times New Roman" w:eastAsiaTheme="minorEastAsia" w:hAnsiTheme="minorEastAsia" w:hint="eastAsia"/>
          <w:sz w:val="21"/>
          <w:szCs w:val="21"/>
          <w:lang w:val="en-US"/>
        </w:rPr>
        <w:t>元，固定收益类资产</w:t>
      </w:r>
      <w:r w:rsidRPr="0053519B">
        <w:rPr>
          <w:rFonts w:ascii="Times New Roman" w:eastAsiaTheme="minorEastAsia" w:hAnsiTheme="minorEastAsia" w:hint="eastAsia"/>
          <w:sz w:val="21"/>
          <w:szCs w:val="21"/>
        </w:rPr>
        <w:t xml:space="preserve">145,000,000.00 </w:t>
      </w:r>
      <w:r w:rsidRPr="0053519B">
        <w:rPr>
          <w:rFonts w:ascii="Times New Roman" w:eastAsiaTheme="minorEastAsia" w:hAnsiTheme="minorEastAsia" w:hint="eastAsia"/>
          <w:sz w:val="21"/>
          <w:szCs w:val="21"/>
          <w:lang w:val="en-US"/>
        </w:rPr>
        <w:t>元。</w:t>
      </w:r>
    </w:p>
    <w:p w:rsidR="00CC5E23" w:rsidRPr="00CC5E23" w:rsidRDefault="00CC5E23" w:rsidP="00B84CB0">
      <w:pPr>
        <w:spacing w:line="360" w:lineRule="auto"/>
        <w:ind w:rightChars="54" w:right="119" w:firstLineChars="200" w:firstLine="422"/>
        <w:jc w:val="both"/>
        <w:rPr>
          <w:rFonts w:ascii="Times New Roman" w:eastAsiaTheme="minorEastAsia" w:hAnsi="Times New Roman"/>
          <w:b/>
          <w:sz w:val="21"/>
          <w:szCs w:val="21"/>
          <w:lang w:val="en-US"/>
        </w:rPr>
      </w:pPr>
      <w:r w:rsidRPr="00CC5E23">
        <w:rPr>
          <w:rFonts w:ascii="Times New Roman" w:eastAsiaTheme="minorEastAsia" w:hAnsiTheme="minorEastAsia" w:hint="eastAsia"/>
          <w:b/>
          <w:sz w:val="21"/>
          <w:szCs w:val="21"/>
          <w:lang w:val="en-US"/>
        </w:rPr>
        <w:lastRenderedPageBreak/>
        <w:t>六、估值原则</w:t>
      </w:r>
    </w:p>
    <w:p w:rsidR="00B84CB0" w:rsidRPr="00C27D30" w:rsidRDefault="00B84CB0" w:rsidP="00B84CB0">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独立账户的下列资产应于合同约定的计价日（以下称</w:t>
      </w:r>
      <w:r w:rsidR="003642D3">
        <w:rPr>
          <w:rFonts w:ascii="Times New Roman" w:eastAsiaTheme="minorEastAsia" w:hAnsi="Times New Roman" w:hint="eastAsia"/>
          <w:sz w:val="21"/>
          <w:szCs w:val="21"/>
          <w:lang w:val="en-US"/>
        </w:rPr>
        <w:t>“</w:t>
      </w:r>
      <w:r w:rsidRPr="00C27D30">
        <w:rPr>
          <w:rFonts w:ascii="Times New Roman" w:eastAsiaTheme="minorEastAsia" w:hAnsiTheme="minorEastAsia"/>
          <w:sz w:val="21"/>
          <w:szCs w:val="21"/>
          <w:lang w:val="en-US"/>
        </w:rPr>
        <w:t>估值日</w:t>
      </w:r>
      <w:r w:rsidR="003642D3">
        <w:rPr>
          <w:rFonts w:ascii="Times New Roman" w:eastAsiaTheme="minorEastAsia" w:hAnsi="Times New Roman" w:hint="eastAsia"/>
          <w:sz w:val="21"/>
          <w:szCs w:val="21"/>
          <w:lang w:val="en-US"/>
        </w:rPr>
        <w:t>”</w:t>
      </w:r>
      <w:r w:rsidRPr="00C27D30">
        <w:rPr>
          <w:rFonts w:ascii="Times New Roman" w:eastAsiaTheme="minorEastAsia" w:hAnsiTheme="minorEastAsia"/>
          <w:sz w:val="21"/>
          <w:szCs w:val="21"/>
          <w:lang w:val="en-US"/>
        </w:rPr>
        <w:t>），按如下原则进行估值：</w:t>
      </w:r>
    </w:p>
    <w:p w:rsidR="00B84CB0" w:rsidRPr="00C27D30" w:rsidRDefault="00B84CB0" w:rsidP="00B84CB0">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（一）流动性资产、固定收益类资产、上市权益类资产</w:t>
      </w:r>
    </w:p>
    <w:p w:rsidR="00B84CB0" w:rsidRPr="00C27D30" w:rsidRDefault="00B84CB0" w:rsidP="00B84CB0">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下列资产应于合同约定的计价日（以下称</w:t>
      </w:r>
      <w:r w:rsidR="003642D3">
        <w:rPr>
          <w:rFonts w:ascii="Times New Roman" w:eastAsiaTheme="minorEastAsia" w:hAnsi="Times New Roman" w:hint="eastAsia"/>
          <w:sz w:val="21"/>
          <w:szCs w:val="21"/>
          <w:lang w:val="en-US"/>
        </w:rPr>
        <w:t>“</w:t>
      </w:r>
      <w:r w:rsidRPr="00C27D30">
        <w:rPr>
          <w:rFonts w:ascii="Times New Roman" w:eastAsiaTheme="minorEastAsia" w:hAnsiTheme="minorEastAsia"/>
          <w:sz w:val="21"/>
          <w:szCs w:val="21"/>
          <w:lang w:val="en-US"/>
        </w:rPr>
        <w:t>估值日</w:t>
      </w:r>
      <w:r w:rsidR="003642D3">
        <w:rPr>
          <w:rFonts w:ascii="Times New Roman" w:eastAsiaTheme="minorEastAsia" w:hAnsi="Times New Roman" w:hint="eastAsia"/>
          <w:sz w:val="21"/>
          <w:szCs w:val="21"/>
          <w:lang w:val="en-US"/>
        </w:rPr>
        <w:t>”</w:t>
      </w:r>
      <w:r w:rsidRPr="00C27D30">
        <w:rPr>
          <w:rFonts w:ascii="Times New Roman" w:eastAsiaTheme="minorEastAsia" w:hAnsiTheme="minorEastAsia"/>
          <w:sz w:val="21"/>
          <w:szCs w:val="21"/>
          <w:lang w:val="en-US"/>
        </w:rPr>
        <w:t>），按如下原则进行估值：</w:t>
      </w:r>
    </w:p>
    <w:p w:rsidR="00B84CB0" w:rsidRPr="00C27D30" w:rsidRDefault="00B84CB0" w:rsidP="00B84CB0">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imes New Roman"/>
          <w:sz w:val="21"/>
          <w:szCs w:val="21"/>
          <w:lang w:val="en-US"/>
        </w:rPr>
        <w:t>1.</w:t>
      </w:r>
      <w:r w:rsidRPr="00C27D30">
        <w:rPr>
          <w:rFonts w:ascii="Times New Roman" w:eastAsiaTheme="minorEastAsia" w:hAnsiTheme="minorEastAsia"/>
          <w:sz w:val="21"/>
          <w:szCs w:val="21"/>
          <w:lang w:val="en-US"/>
        </w:rPr>
        <w:t>上市流通的有价证券，以其在证券交易所挂牌的市价（平均价或收盘价，下同）估值；估值日无交易的，以最近交易日的市价估值；</w:t>
      </w:r>
    </w:p>
    <w:p w:rsidR="00B84CB0" w:rsidRPr="00C27D30" w:rsidRDefault="00B84CB0" w:rsidP="00B84CB0">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imes New Roman"/>
          <w:sz w:val="21"/>
          <w:szCs w:val="21"/>
          <w:lang w:val="en-US"/>
        </w:rPr>
        <w:t>2.</w:t>
      </w:r>
      <w:r w:rsidRPr="00C27D30">
        <w:rPr>
          <w:rFonts w:ascii="Times New Roman" w:eastAsiaTheme="minorEastAsia" w:hAnsiTheme="minorEastAsia"/>
          <w:sz w:val="21"/>
          <w:szCs w:val="21"/>
          <w:lang w:val="en-US"/>
        </w:rPr>
        <w:t>开放式基金，以其公告的基金单位净值估值；处于募集期内的证券投资基金，按其成本估值；</w:t>
      </w:r>
    </w:p>
    <w:p w:rsidR="00B84CB0" w:rsidRPr="00C27D30" w:rsidRDefault="00B84CB0" w:rsidP="00B84CB0">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imes New Roman"/>
          <w:sz w:val="21"/>
          <w:szCs w:val="21"/>
          <w:lang w:val="en-US"/>
        </w:rPr>
        <w:t>3.</w:t>
      </w:r>
      <w:r w:rsidRPr="00C27D30">
        <w:rPr>
          <w:rFonts w:ascii="Times New Roman" w:eastAsiaTheme="minorEastAsia" w:hAnsiTheme="minorEastAsia"/>
          <w:sz w:val="21"/>
          <w:szCs w:val="21"/>
          <w:lang w:val="en-US"/>
        </w:rPr>
        <w:t>如有确凿证据表明按上述方法进行估值不能客观反映其公允价值的，公司应根据具体情况按最能反映公允价值的价格估值。</w:t>
      </w:r>
    </w:p>
    <w:p w:rsidR="00B84CB0" w:rsidRPr="00C27D30" w:rsidRDefault="00B84CB0" w:rsidP="00B84CB0">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流动性资产、固定收益类资产、上市权益类资产的分类和定义遵照中国保监会资金运用相关监管规定。</w:t>
      </w:r>
    </w:p>
    <w:p w:rsidR="00B84CB0" w:rsidRPr="00C27D30" w:rsidRDefault="00B84CB0" w:rsidP="00B84CB0">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（二）基础设施投资计划、不动产相关金融产品、其他金融资产</w:t>
      </w:r>
    </w:p>
    <w:p w:rsidR="00B84CB0" w:rsidRPr="00C27D30" w:rsidRDefault="00B84CB0" w:rsidP="00B84CB0">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由于以上资产不存在公开交易市场，采用账面价值估值，即按照资产的初始投资成本确认账面价值。利息在持有期内于估值日按合同约定的预定收益率计提，对于已到付息日但尚未领取的利息，按照应收利息扣除已计提利息收入的差额，在付息日确认投资收益。</w:t>
      </w:r>
    </w:p>
    <w:p w:rsidR="00B84CB0" w:rsidRPr="00C27D30" w:rsidRDefault="00B84CB0" w:rsidP="00B84CB0">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基础设施投资计划、不动产相关金融产品、其他金融资产的分类和定义遵照中国保监会资金运用的相关监管规定。</w:t>
      </w:r>
    </w:p>
    <w:p w:rsidR="00B84CB0" w:rsidRPr="00C27D30" w:rsidRDefault="00B84CB0" w:rsidP="00B84CB0">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（三）定向增发股票</w:t>
      </w:r>
    </w:p>
    <w:p w:rsidR="00716794" w:rsidRDefault="00B84CB0" w:rsidP="000D2C96">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定向增发股票的估值方法如下：有公开市场的定向增发股票，在估值日当天，如公开市场的公允价值低于定向增发的初始取得成本，按公允价值估值。如公允价值高于定向增发的初始取得成本，估值价值为：初始成本价＋（公允价值－初始成本价）</w:t>
      </w:r>
      <w:r w:rsidRPr="00C27D30">
        <w:rPr>
          <w:rFonts w:ascii="Times New Roman" w:eastAsiaTheme="minorEastAsia" w:hAnsi="Times New Roman"/>
          <w:sz w:val="21"/>
          <w:szCs w:val="21"/>
          <w:lang w:val="en-US"/>
        </w:rPr>
        <w:t>×</w:t>
      </w:r>
      <w:r w:rsidRPr="00C27D30">
        <w:rPr>
          <w:rFonts w:ascii="Times New Roman" w:eastAsiaTheme="minorEastAsia" w:hAnsiTheme="minorEastAsia"/>
          <w:sz w:val="21"/>
          <w:szCs w:val="21"/>
          <w:lang w:val="en-US"/>
        </w:rPr>
        <w:t>起始锁定日到估值日的期间占总锁定期的比例。无公开市场的定向增发，在估值日按账面价值估值。</w:t>
      </w:r>
    </w:p>
    <w:p w:rsidR="00CC5E23" w:rsidRPr="00CC5E23" w:rsidRDefault="00C20180" w:rsidP="005F681D">
      <w:pPr>
        <w:pStyle w:val="ae"/>
        <w:spacing w:line="360" w:lineRule="auto"/>
        <w:ind w:leftChars="181" w:left="820" w:firstLineChars="0" w:hanging="422"/>
        <w:jc w:val="both"/>
        <w:rPr>
          <w:rFonts w:ascii="Times New Roman" w:eastAsiaTheme="minorEastAsia" w:hAnsi="Times New Roman"/>
          <w:b/>
          <w:sz w:val="21"/>
          <w:szCs w:val="21"/>
          <w:lang w:val="en-US"/>
        </w:rPr>
      </w:pPr>
      <w:r>
        <w:rPr>
          <w:rFonts w:ascii="Times New Roman" w:eastAsiaTheme="minorEastAsia" w:hAnsiTheme="minorEastAsia" w:hint="eastAsia"/>
          <w:b/>
          <w:sz w:val="21"/>
          <w:szCs w:val="21"/>
          <w:lang w:val="en-US"/>
        </w:rPr>
        <w:t>七</w:t>
      </w:r>
      <w:r w:rsidR="00CC5E23" w:rsidRPr="00CC5E23">
        <w:rPr>
          <w:rFonts w:ascii="Times New Roman" w:eastAsiaTheme="minorEastAsia" w:hAnsiTheme="minorEastAsia" w:hint="eastAsia"/>
          <w:b/>
          <w:sz w:val="21"/>
          <w:szCs w:val="21"/>
          <w:lang w:val="en-US"/>
        </w:rPr>
        <w:t>、托管银行变更</w:t>
      </w:r>
    </w:p>
    <w:p w:rsidR="00DD739D" w:rsidRPr="00B84CB0" w:rsidRDefault="00C25CDB" w:rsidP="00716794">
      <w:pPr>
        <w:pStyle w:val="ae"/>
        <w:spacing w:line="360" w:lineRule="auto"/>
        <w:ind w:leftChars="165" w:left="363" w:right="200" w:firstLineChars="50" w:firstLine="105"/>
        <w:rPr>
          <w:rFonts w:ascii="Times New Roman" w:eastAsiaTheme="minorEastAsia" w:hAnsi="Times New Roman"/>
          <w:sz w:val="21"/>
          <w:szCs w:val="21"/>
          <w:lang w:val="en-US"/>
        </w:rPr>
      </w:pPr>
      <w:r>
        <w:rPr>
          <w:rFonts w:ascii="Times New Roman" w:eastAsiaTheme="minorEastAsia" w:hAnsiTheme="minorEastAsia" w:hint="eastAsia"/>
          <w:sz w:val="21"/>
          <w:szCs w:val="21"/>
          <w:lang w:val="en-US"/>
        </w:rPr>
        <w:t>本账户由中国邮政储蓄</w:t>
      </w:r>
      <w:r w:rsidR="00CC5E23" w:rsidRPr="00CC5E23">
        <w:rPr>
          <w:rFonts w:ascii="Times New Roman" w:eastAsiaTheme="minorEastAsia" w:hAnsiTheme="minorEastAsia" w:hint="eastAsia"/>
          <w:sz w:val="21"/>
          <w:szCs w:val="21"/>
          <w:lang w:val="en-US"/>
        </w:rPr>
        <w:t>银行托管，截至</w:t>
      </w:r>
      <w:r w:rsidR="00CC5E23" w:rsidRPr="00CC5E23">
        <w:rPr>
          <w:rFonts w:ascii="Times New Roman" w:eastAsiaTheme="minorEastAsia" w:hAnsi="Times New Roman"/>
          <w:sz w:val="21"/>
          <w:szCs w:val="21"/>
          <w:lang w:val="en-US"/>
        </w:rPr>
        <w:t>201</w:t>
      </w:r>
      <w:r w:rsidR="00A3287E">
        <w:rPr>
          <w:rFonts w:ascii="Times New Roman" w:eastAsiaTheme="minorEastAsia" w:hAnsi="Times New Roman" w:hint="eastAsia"/>
          <w:sz w:val="21"/>
          <w:szCs w:val="21"/>
          <w:lang w:val="en-US"/>
        </w:rPr>
        <w:t>5</w:t>
      </w:r>
      <w:r w:rsidR="00CC5E23" w:rsidRPr="00CC5E23">
        <w:rPr>
          <w:rFonts w:ascii="Times New Roman" w:eastAsiaTheme="minorEastAsia" w:hAnsiTheme="minorEastAsia" w:hint="eastAsia"/>
          <w:sz w:val="21"/>
          <w:szCs w:val="21"/>
          <w:lang w:val="en-US"/>
        </w:rPr>
        <w:t>年</w:t>
      </w:r>
      <w:r w:rsidR="00A3287E">
        <w:rPr>
          <w:rFonts w:ascii="Times New Roman" w:eastAsiaTheme="minorEastAsia" w:hAnsi="Times New Roman" w:hint="eastAsia"/>
          <w:sz w:val="21"/>
          <w:szCs w:val="21"/>
          <w:lang w:val="en-US"/>
        </w:rPr>
        <w:t>6</w:t>
      </w:r>
      <w:r w:rsidR="00CC5E23" w:rsidRPr="00CC5E23">
        <w:rPr>
          <w:rFonts w:ascii="Times New Roman" w:eastAsiaTheme="minorEastAsia" w:hAnsiTheme="minorEastAsia" w:hint="eastAsia"/>
          <w:sz w:val="21"/>
          <w:szCs w:val="21"/>
          <w:lang w:val="en-US"/>
        </w:rPr>
        <w:t>月</w:t>
      </w:r>
      <w:r w:rsidR="00A3287E">
        <w:rPr>
          <w:rFonts w:ascii="Times New Roman" w:eastAsiaTheme="minorEastAsia" w:hAnsi="Times New Roman" w:hint="eastAsia"/>
          <w:sz w:val="21"/>
          <w:szCs w:val="21"/>
          <w:lang w:val="en-US"/>
        </w:rPr>
        <w:t>30</w:t>
      </w:r>
      <w:r w:rsidR="00CC5E23" w:rsidRPr="00CC5E23">
        <w:rPr>
          <w:rFonts w:ascii="Times New Roman" w:eastAsiaTheme="minorEastAsia" w:hAnsiTheme="minorEastAsia" w:hint="eastAsia"/>
          <w:sz w:val="21"/>
          <w:szCs w:val="21"/>
          <w:lang w:val="en-US"/>
        </w:rPr>
        <w:t>日，托管银行未发生变更。</w:t>
      </w:r>
    </w:p>
    <w:p w:rsidR="009A2497" w:rsidRDefault="00CC5E23" w:rsidP="00B84CB0">
      <w:pPr>
        <w:pStyle w:val="ae"/>
        <w:spacing w:line="360" w:lineRule="auto"/>
        <w:ind w:leftChars="165" w:left="363" w:right="200" w:firstLineChars="0" w:firstLine="0"/>
        <w:jc w:val="right"/>
        <w:rPr>
          <w:rFonts w:ascii="Times New Roman" w:eastAsiaTheme="minorEastAsia" w:hAnsiTheme="minorEastAsia"/>
          <w:sz w:val="21"/>
          <w:szCs w:val="21"/>
          <w:lang w:val="en-US"/>
        </w:rPr>
      </w:pPr>
      <w:r w:rsidRPr="00CC5E23">
        <w:rPr>
          <w:rFonts w:ascii="Times New Roman" w:eastAsiaTheme="minorEastAsia" w:hAnsiTheme="minorEastAsia" w:hint="eastAsia"/>
          <w:sz w:val="21"/>
          <w:szCs w:val="21"/>
          <w:lang w:val="en-US"/>
        </w:rPr>
        <w:t>国华人寿保险股份有限公司</w:t>
      </w:r>
    </w:p>
    <w:p w:rsidR="00B303B3" w:rsidRPr="00B84CB0" w:rsidRDefault="00DC08B3" w:rsidP="00B84CB0">
      <w:pPr>
        <w:pStyle w:val="ae"/>
        <w:spacing w:line="360" w:lineRule="auto"/>
        <w:ind w:leftChars="165" w:left="363" w:right="200" w:firstLineChars="0" w:firstLine="0"/>
        <w:jc w:val="right"/>
        <w:rPr>
          <w:rFonts w:ascii="Times New Roman" w:eastAsiaTheme="minorEastAsia" w:hAnsiTheme="minorEastAsia"/>
          <w:sz w:val="21"/>
          <w:szCs w:val="21"/>
          <w:lang w:val="en-US"/>
        </w:rPr>
      </w:pPr>
      <w:r w:rsidRPr="00B84CB0">
        <w:rPr>
          <w:rFonts w:ascii="Times New Roman" w:eastAsiaTheme="minorEastAsia" w:hAnsiTheme="minorEastAsia" w:hint="eastAsia"/>
          <w:sz w:val="21"/>
          <w:szCs w:val="21"/>
          <w:lang w:val="en-US"/>
        </w:rPr>
        <w:t>2015</w:t>
      </w:r>
      <w:r w:rsidR="00732C74" w:rsidRPr="00B84CB0">
        <w:rPr>
          <w:rFonts w:ascii="Times New Roman" w:eastAsiaTheme="minorEastAsia" w:hAnsiTheme="minorEastAsia" w:hint="eastAsia"/>
          <w:sz w:val="21"/>
          <w:szCs w:val="21"/>
          <w:lang w:val="en-US"/>
        </w:rPr>
        <w:t>年</w:t>
      </w:r>
      <w:r w:rsidR="00A3287E" w:rsidRPr="00B84CB0">
        <w:rPr>
          <w:rFonts w:ascii="Times New Roman" w:eastAsiaTheme="minorEastAsia" w:hAnsiTheme="minorEastAsia" w:hint="eastAsia"/>
          <w:sz w:val="21"/>
          <w:szCs w:val="21"/>
          <w:lang w:val="en-US"/>
        </w:rPr>
        <w:t>8</w:t>
      </w:r>
      <w:r w:rsidR="00732C74" w:rsidRPr="00B84CB0">
        <w:rPr>
          <w:rFonts w:ascii="Times New Roman" w:eastAsiaTheme="minorEastAsia" w:hAnsiTheme="minorEastAsia" w:hint="eastAsia"/>
          <w:sz w:val="21"/>
          <w:szCs w:val="21"/>
          <w:lang w:val="en-US"/>
        </w:rPr>
        <w:t>月</w:t>
      </w:r>
      <w:r w:rsidR="00A3287E" w:rsidRPr="00B84CB0">
        <w:rPr>
          <w:rFonts w:ascii="Times New Roman" w:eastAsiaTheme="minorEastAsia" w:hAnsiTheme="minorEastAsia" w:hint="eastAsia"/>
          <w:sz w:val="21"/>
          <w:szCs w:val="21"/>
          <w:lang w:val="en-US"/>
        </w:rPr>
        <w:t>5</w:t>
      </w:r>
      <w:r w:rsidR="00732C74" w:rsidRPr="00B84CB0">
        <w:rPr>
          <w:rFonts w:ascii="Times New Roman" w:eastAsiaTheme="minorEastAsia" w:hAnsiTheme="minorEastAsia" w:hint="eastAsia"/>
          <w:sz w:val="21"/>
          <w:szCs w:val="21"/>
          <w:lang w:val="en-US"/>
        </w:rPr>
        <w:t>日</w:t>
      </w:r>
      <w:r w:rsidR="00CC5E23" w:rsidRPr="00B84CB0">
        <w:rPr>
          <w:rFonts w:ascii="Times New Roman" w:eastAsiaTheme="minorEastAsia" w:hAnsi="Times New Roman"/>
          <w:sz w:val="21"/>
          <w:szCs w:val="21"/>
          <w:lang w:val="en-US"/>
        </w:rPr>
        <w:br/>
      </w:r>
      <w:r w:rsidR="001955F8" w:rsidRPr="00B84CB0">
        <w:rPr>
          <w:rFonts w:ascii="Times New Roman" w:eastAsiaTheme="minorEastAsia" w:hAnsi="Times New Roman"/>
          <w:sz w:val="20"/>
          <w:szCs w:val="20"/>
          <w:lang w:val="en-US"/>
        </w:rPr>
        <w:br/>
      </w:r>
      <w:r w:rsidR="001955F8" w:rsidRPr="00B84CB0">
        <w:rPr>
          <w:rFonts w:ascii="Times New Roman" w:eastAsiaTheme="minorEastAsia" w:hAnsi="Times New Roman"/>
          <w:sz w:val="20"/>
          <w:szCs w:val="20"/>
          <w:lang w:val="en-US"/>
        </w:rPr>
        <w:t xml:space="preserve">　</w:t>
      </w:r>
    </w:p>
    <w:sectPr w:rsidR="00B303B3" w:rsidRPr="00B84CB0" w:rsidSect="00532157">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D3E" w:rsidRDefault="00657D3E" w:rsidP="00011B89">
      <w:r>
        <w:separator/>
      </w:r>
    </w:p>
  </w:endnote>
  <w:endnote w:type="continuationSeparator" w:id="1">
    <w:p w:rsidR="00657D3E" w:rsidRDefault="00657D3E" w:rsidP="00011B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608672"/>
      <w:docPartObj>
        <w:docPartGallery w:val="Page Numbers (Bottom of Page)"/>
        <w:docPartUnique/>
      </w:docPartObj>
    </w:sdtPr>
    <w:sdtEndPr>
      <w:rPr>
        <w:rFonts w:ascii="Times New Roman" w:hAnsi="Times New Roman"/>
      </w:rPr>
    </w:sdtEndPr>
    <w:sdtContent>
      <w:p w:rsidR="009C62B9" w:rsidRDefault="000E4E30">
        <w:pPr>
          <w:pStyle w:val="ad"/>
          <w:jc w:val="center"/>
        </w:pPr>
        <w:r w:rsidRPr="00CC5E23">
          <w:rPr>
            <w:rFonts w:ascii="Times New Roman" w:hAnsi="Times New Roman"/>
          </w:rPr>
          <w:fldChar w:fldCharType="begin"/>
        </w:r>
        <w:r w:rsidR="00CC5E23" w:rsidRPr="00CC5E23">
          <w:rPr>
            <w:rFonts w:ascii="Times New Roman" w:hAnsi="Times New Roman"/>
          </w:rPr>
          <w:instrText xml:space="preserve"> PAGE   \* MERGEFORMAT </w:instrText>
        </w:r>
        <w:r w:rsidRPr="00CC5E23">
          <w:rPr>
            <w:rFonts w:ascii="Times New Roman" w:hAnsi="Times New Roman"/>
          </w:rPr>
          <w:fldChar w:fldCharType="separate"/>
        </w:r>
        <w:r w:rsidR="007807B7" w:rsidRPr="007807B7">
          <w:rPr>
            <w:rFonts w:ascii="Times New Roman" w:hAnsi="Times New Roman"/>
            <w:noProof/>
            <w:lang w:val="zh-CN"/>
          </w:rPr>
          <w:t>4</w:t>
        </w:r>
        <w:r w:rsidRPr="00CC5E23">
          <w:rPr>
            <w:rFonts w:ascii="Times New Roman" w:hAnsi="Times New Roman"/>
          </w:rPr>
          <w:fldChar w:fldCharType="end"/>
        </w:r>
      </w:p>
    </w:sdtContent>
  </w:sdt>
  <w:p w:rsidR="009C62B9" w:rsidRDefault="009C62B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D3E" w:rsidRDefault="00657D3E" w:rsidP="00011B89">
      <w:r>
        <w:separator/>
      </w:r>
    </w:p>
  </w:footnote>
  <w:footnote w:type="continuationSeparator" w:id="1">
    <w:p w:rsidR="00657D3E" w:rsidRDefault="00657D3E" w:rsidP="00011B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1651B"/>
    <w:multiLevelType w:val="hybridMultilevel"/>
    <w:tmpl w:val="94E45A68"/>
    <w:lvl w:ilvl="0" w:tplc="7E667D4E">
      <w:start w:val="1"/>
      <w:numFmt w:val="japaneseCounting"/>
      <w:lvlText w:val="%1、"/>
      <w:lvlJc w:val="left"/>
      <w:pPr>
        <w:ind w:left="825" w:hanging="4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nsid w:val="41424C63"/>
    <w:multiLevelType w:val="hybridMultilevel"/>
    <w:tmpl w:val="DF24F57C"/>
    <w:lvl w:ilvl="0" w:tplc="E9FE35A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922533A"/>
    <w:multiLevelType w:val="hybridMultilevel"/>
    <w:tmpl w:val="C65EB284"/>
    <w:lvl w:ilvl="0" w:tplc="F84616F2">
      <w:start w:val="2"/>
      <w:numFmt w:val="japaneseCounting"/>
      <w:lvlText w:val="%1、"/>
      <w:lvlJc w:val="left"/>
      <w:pPr>
        <w:ind w:left="1140" w:hanging="720"/>
      </w:pPr>
      <w:rPr>
        <w:rFonts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A5F3113"/>
    <w:multiLevelType w:val="hybridMultilevel"/>
    <w:tmpl w:val="9AE6E09E"/>
    <w:lvl w:ilvl="0" w:tplc="4204E05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53C0A8E"/>
    <w:multiLevelType w:val="hybridMultilevel"/>
    <w:tmpl w:val="B3380540"/>
    <w:lvl w:ilvl="0" w:tplc="5E068E6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F514BF3"/>
    <w:multiLevelType w:val="hybridMultilevel"/>
    <w:tmpl w:val="76D6795C"/>
    <w:lvl w:ilvl="0" w:tplc="43185BF0">
      <w:start w:val="1"/>
      <w:numFmt w:val="japaneseCounting"/>
      <w:lvlText w:val="第%1条"/>
      <w:lvlJc w:val="left"/>
      <w:pPr>
        <w:ind w:left="885" w:hanging="885"/>
      </w:pPr>
      <w:rPr>
        <w:rFonts w:hint="default"/>
        <w:b/>
        <w:lang w:val="en-US"/>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7F5E0439"/>
    <w:multiLevelType w:val="hybridMultilevel"/>
    <w:tmpl w:val="49DC00A0"/>
    <w:lvl w:ilvl="0" w:tplc="DE26F76A">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2"/>
  </w:num>
  <w:num w:numId="4">
    <w:abstractNumId w:val="6"/>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1177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1B89"/>
    <w:rsid w:val="00011B89"/>
    <w:rsid w:val="00020C9F"/>
    <w:rsid w:val="00022653"/>
    <w:rsid w:val="000258B3"/>
    <w:rsid w:val="000364EE"/>
    <w:rsid w:val="0004138A"/>
    <w:rsid w:val="00044A70"/>
    <w:rsid w:val="00045536"/>
    <w:rsid w:val="00065BBA"/>
    <w:rsid w:val="00066FC7"/>
    <w:rsid w:val="0007453E"/>
    <w:rsid w:val="00080027"/>
    <w:rsid w:val="00080F1B"/>
    <w:rsid w:val="00082AA6"/>
    <w:rsid w:val="00087631"/>
    <w:rsid w:val="000A6ECD"/>
    <w:rsid w:val="000B01B0"/>
    <w:rsid w:val="000B0704"/>
    <w:rsid w:val="000B6E84"/>
    <w:rsid w:val="000C475C"/>
    <w:rsid w:val="000C5501"/>
    <w:rsid w:val="000D2C96"/>
    <w:rsid w:val="000D5D60"/>
    <w:rsid w:val="000E18F0"/>
    <w:rsid w:val="000E2424"/>
    <w:rsid w:val="000E3070"/>
    <w:rsid w:val="000E4E30"/>
    <w:rsid w:val="000E6389"/>
    <w:rsid w:val="001345E0"/>
    <w:rsid w:val="001432EB"/>
    <w:rsid w:val="00150B9F"/>
    <w:rsid w:val="00155321"/>
    <w:rsid w:val="0016631E"/>
    <w:rsid w:val="00171F32"/>
    <w:rsid w:val="00177D14"/>
    <w:rsid w:val="00192F18"/>
    <w:rsid w:val="001955F8"/>
    <w:rsid w:val="001A3BDE"/>
    <w:rsid w:val="001A7421"/>
    <w:rsid w:val="001B3160"/>
    <w:rsid w:val="001C6ADA"/>
    <w:rsid w:val="001D7AC7"/>
    <w:rsid w:val="001E22CF"/>
    <w:rsid w:val="001E2522"/>
    <w:rsid w:val="001E537E"/>
    <w:rsid w:val="001F0A72"/>
    <w:rsid w:val="001F4774"/>
    <w:rsid w:val="001F53D8"/>
    <w:rsid w:val="00202BBB"/>
    <w:rsid w:val="00204AF3"/>
    <w:rsid w:val="00206957"/>
    <w:rsid w:val="00212E6F"/>
    <w:rsid w:val="002363AF"/>
    <w:rsid w:val="00244C1E"/>
    <w:rsid w:val="00245C48"/>
    <w:rsid w:val="002625B5"/>
    <w:rsid w:val="002669A3"/>
    <w:rsid w:val="00277DEF"/>
    <w:rsid w:val="002818C2"/>
    <w:rsid w:val="002A2DE8"/>
    <w:rsid w:val="002A495C"/>
    <w:rsid w:val="002A50A2"/>
    <w:rsid w:val="002B45B9"/>
    <w:rsid w:val="002B6D67"/>
    <w:rsid w:val="002C5394"/>
    <w:rsid w:val="002C5B7D"/>
    <w:rsid w:val="002C68E3"/>
    <w:rsid w:val="002C767B"/>
    <w:rsid w:val="002D06FB"/>
    <w:rsid w:val="002D78DF"/>
    <w:rsid w:val="002E5166"/>
    <w:rsid w:val="0030044A"/>
    <w:rsid w:val="0030265D"/>
    <w:rsid w:val="00303D72"/>
    <w:rsid w:val="003076EC"/>
    <w:rsid w:val="00313941"/>
    <w:rsid w:val="00315156"/>
    <w:rsid w:val="00321E3D"/>
    <w:rsid w:val="00323465"/>
    <w:rsid w:val="00335342"/>
    <w:rsid w:val="00337165"/>
    <w:rsid w:val="003430FA"/>
    <w:rsid w:val="00344C28"/>
    <w:rsid w:val="003554A0"/>
    <w:rsid w:val="003642D3"/>
    <w:rsid w:val="00374BA2"/>
    <w:rsid w:val="00376449"/>
    <w:rsid w:val="00376709"/>
    <w:rsid w:val="00385092"/>
    <w:rsid w:val="00392B0B"/>
    <w:rsid w:val="0039479B"/>
    <w:rsid w:val="00397CA8"/>
    <w:rsid w:val="003A1A2C"/>
    <w:rsid w:val="003B0330"/>
    <w:rsid w:val="003C2FEE"/>
    <w:rsid w:val="003D06CB"/>
    <w:rsid w:val="003D36DF"/>
    <w:rsid w:val="003E46C2"/>
    <w:rsid w:val="003F111C"/>
    <w:rsid w:val="003F6641"/>
    <w:rsid w:val="004027B4"/>
    <w:rsid w:val="00403B38"/>
    <w:rsid w:val="004048C1"/>
    <w:rsid w:val="00411797"/>
    <w:rsid w:val="0041486A"/>
    <w:rsid w:val="004165A2"/>
    <w:rsid w:val="00424E6F"/>
    <w:rsid w:val="004322A2"/>
    <w:rsid w:val="00432B25"/>
    <w:rsid w:val="00460E14"/>
    <w:rsid w:val="0046757A"/>
    <w:rsid w:val="004869CC"/>
    <w:rsid w:val="00486A9C"/>
    <w:rsid w:val="00487EEA"/>
    <w:rsid w:val="004B223A"/>
    <w:rsid w:val="004C0CE5"/>
    <w:rsid w:val="004C684B"/>
    <w:rsid w:val="004C7FB7"/>
    <w:rsid w:val="004E4A68"/>
    <w:rsid w:val="004E56BA"/>
    <w:rsid w:val="00501EF6"/>
    <w:rsid w:val="00502F68"/>
    <w:rsid w:val="0050640A"/>
    <w:rsid w:val="00523317"/>
    <w:rsid w:val="00523A95"/>
    <w:rsid w:val="00523E9A"/>
    <w:rsid w:val="00532157"/>
    <w:rsid w:val="0053308F"/>
    <w:rsid w:val="0053519B"/>
    <w:rsid w:val="00535B0D"/>
    <w:rsid w:val="00574C1E"/>
    <w:rsid w:val="005808C5"/>
    <w:rsid w:val="00581096"/>
    <w:rsid w:val="005832EA"/>
    <w:rsid w:val="00584E46"/>
    <w:rsid w:val="0059613D"/>
    <w:rsid w:val="005A1886"/>
    <w:rsid w:val="005A2BB2"/>
    <w:rsid w:val="005B044C"/>
    <w:rsid w:val="005D64B7"/>
    <w:rsid w:val="005E35A2"/>
    <w:rsid w:val="005E4A25"/>
    <w:rsid w:val="005F15EC"/>
    <w:rsid w:val="005F66F9"/>
    <w:rsid w:val="005F681D"/>
    <w:rsid w:val="006025C4"/>
    <w:rsid w:val="0060348B"/>
    <w:rsid w:val="00604C30"/>
    <w:rsid w:val="00612C9D"/>
    <w:rsid w:val="00615327"/>
    <w:rsid w:val="00635DE5"/>
    <w:rsid w:val="006374F3"/>
    <w:rsid w:val="006520EB"/>
    <w:rsid w:val="00657D3E"/>
    <w:rsid w:val="006608DE"/>
    <w:rsid w:val="00663AD5"/>
    <w:rsid w:val="00667A6B"/>
    <w:rsid w:val="006712B1"/>
    <w:rsid w:val="006741E7"/>
    <w:rsid w:val="006927EA"/>
    <w:rsid w:val="006A171B"/>
    <w:rsid w:val="006A2817"/>
    <w:rsid w:val="006A3372"/>
    <w:rsid w:val="006D68B8"/>
    <w:rsid w:val="006E09AA"/>
    <w:rsid w:val="006E1966"/>
    <w:rsid w:val="006F2015"/>
    <w:rsid w:val="00711286"/>
    <w:rsid w:val="007119A5"/>
    <w:rsid w:val="00712D38"/>
    <w:rsid w:val="00715564"/>
    <w:rsid w:val="00716794"/>
    <w:rsid w:val="00720E46"/>
    <w:rsid w:val="00724A74"/>
    <w:rsid w:val="0072630E"/>
    <w:rsid w:val="00730149"/>
    <w:rsid w:val="0073148B"/>
    <w:rsid w:val="0073204A"/>
    <w:rsid w:val="00732C74"/>
    <w:rsid w:val="007345AF"/>
    <w:rsid w:val="00735F12"/>
    <w:rsid w:val="007402F1"/>
    <w:rsid w:val="00746EEC"/>
    <w:rsid w:val="007511D3"/>
    <w:rsid w:val="007577D9"/>
    <w:rsid w:val="00762B68"/>
    <w:rsid w:val="00762BE1"/>
    <w:rsid w:val="007655D7"/>
    <w:rsid w:val="0076585B"/>
    <w:rsid w:val="00773CFA"/>
    <w:rsid w:val="007807B7"/>
    <w:rsid w:val="007809B0"/>
    <w:rsid w:val="00786FD4"/>
    <w:rsid w:val="007A7FFC"/>
    <w:rsid w:val="007B11F0"/>
    <w:rsid w:val="007C7429"/>
    <w:rsid w:val="007D30D5"/>
    <w:rsid w:val="007D492A"/>
    <w:rsid w:val="007D6B57"/>
    <w:rsid w:val="007F4BF0"/>
    <w:rsid w:val="0080372A"/>
    <w:rsid w:val="00805CA0"/>
    <w:rsid w:val="008121EB"/>
    <w:rsid w:val="00823124"/>
    <w:rsid w:val="00845D3D"/>
    <w:rsid w:val="00845F74"/>
    <w:rsid w:val="00852F3D"/>
    <w:rsid w:val="00856FBD"/>
    <w:rsid w:val="00866DB5"/>
    <w:rsid w:val="00874961"/>
    <w:rsid w:val="0087554F"/>
    <w:rsid w:val="008838BF"/>
    <w:rsid w:val="008926D1"/>
    <w:rsid w:val="00893CBC"/>
    <w:rsid w:val="008963DF"/>
    <w:rsid w:val="008A48B1"/>
    <w:rsid w:val="008A7DD4"/>
    <w:rsid w:val="008D04F8"/>
    <w:rsid w:val="008F26FC"/>
    <w:rsid w:val="00901B72"/>
    <w:rsid w:val="009058F1"/>
    <w:rsid w:val="009060E7"/>
    <w:rsid w:val="009144B4"/>
    <w:rsid w:val="00932531"/>
    <w:rsid w:val="00933ECF"/>
    <w:rsid w:val="009359B5"/>
    <w:rsid w:val="00941CE7"/>
    <w:rsid w:val="009443A6"/>
    <w:rsid w:val="009555BD"/>
    <w:rsid w:val="00963957"/>
    <w:rsid w:val="0098304A"/>
    <w:rsid w:val="00983491"/>
    <w:rsid w:val="0099502C"/>
    <w:rsid w:val="00995A44"/>
    <w:rsid w:val="009A2497"/>
    <w:rsid w:val="009B1EDA"/>
    <w:rsid w:val="009B5BF8"/>
    <w:rsid w:val="009B5D85"/>
    <w:rsid w:val="009C62B9"/>
    <w:rsid w:val="009D69BF"/>
    <w:rsid w:val="009F4D2C"/>
    <w:rsid w:val="009F4D4B"/>
    <w:rsid w:val="009F7406"/>
    <w:rsid w:val="00A143B4"/>
    <w:rsid w:val="00A148D0"/>
    <w:rsid w:val="00A15358"/>
    <w:rsid w:val="00A17555"/>
    <w:rsid w:val="00A17BB9"/>
    <w:rsid w:val="00A21B7D"/>
    <w:rsid w:val="00A3287E"/>
    <w:rsid w:val="00A379F8"/>
    <w:rsid w:val="00A55072"/>
    <w:rsid w:val="00A60BB8"/>
    <w:rsid w:val="00A75FFF"/>
    <w:rsid w:val="00A9690D"/>
    <w:rsid w:val="00AA0C58"/>
    <w:rsid w:val="00AA6F77"/>
    <w:rsid w:val="00AB5006"/>
    <w:rsid w:val="00AC4D4B"/>
    <w:rsid w:val="00AC65FA"/>
    <w:rsid w:val="00AD1EC3"/>
    <w:rsid w:val="00AD69A9"/>
    <w:rsid w:val="00AE2C0D"/>
    <w:rsid w:val="00AF4E6B"/>
    <w:rsid w:val="00AF546A"/>
    <w:rsid w:val="00B14166"/>
    <w:rsid w:val="00B16EE4"/>
    <w:rsid w:val="00B21A13"/>
    <w:rsid w:val="00B249DC"/>
    <w:rsid w:val="00B303B3"/>
    <w:rsid w:val="00B31C89"/>
    <w:rsid w:val="00B448C6"/>
    <w:rsid w:val="00B74FE7"/>
    <w:rsid w:val="00B83C2D"/>
    <w:rsid w:val="00B8414F"/>
    <w:rsid w:val="00B84CB0"/>
    <w:rsid w:val="00B868C5"/>
    <w:rsid w:val="00B924F0"/>
    <w:rsid w:val="00BA7F50"/>
    <w:rsid w:val="00BC6B04"/>
    <w:rsid w:val="00BD4E6D"/>
    <w:rsid w:val="00BF7071"/>
    <w:rsid w:val="00C04A63"/>
    <w:rsid w:val="00C10F01"/>
    <w:rsid w:val="00C20180"/>
    <w:rsid w:val="00C22D71"/>
    <w:rsid w:val="00C24782"/>
    <w:rsid w:val="00C248B1"/>
    <w:rsid w:val="00C25CDB"/>
    <w:rsid w:val="00C26A39"/>
    <w:rsid w:val="00C3022D"/>
    <w:rsid w:val="00C32729"/>
    <w:rsid w:val="00C57685"/>
    <w:rsid w:val="00C61984"/>
    <w:rsid w:val="00C625D5"/>
    <w:rsid w:val="00C63E51"/>
    <w:rsid w:val="00C749CC"/>
    <w:rsid w:val="00C809C3"/>
    <w:rsid w:val="00C92853"/>
    <w:rsid w:val="00C93415"/>
    <w:rsid w:val="00C94950"/>
    <w:rsid w:val="00C94A62"/>
    <w:rsid w:val="00C9574F"/>
    <w:rsid w:val="00C958B6"/>
    <w:rsid w:val="00CA27C0"/>
    <w:rsid w:val="00CA5639"/>
    <w:rsid w:val="00CA6699"/>
    <w:rsid w:val="00CB0179"/>
    <w:rsid w:val="00CB40FE"/>
    <w:rsid w:val="00CC5E23"/>
    <w:rsid w:val="00CD456D"/>
    <w:rsid w:val="00CE0A41"/>
    <w:rsid w:val="00CE438C"/>
    <w:rsid w:val="00CF5FFC"/>
    <w:rsid w:val="00D109EA"/>
    <w:rsid w:val="00D12ACF"/>
    <w:rsid w:val="00D40C5F"/>
    <w:rsid w:val="00D7082A"/>
    <w:rsid w:val="00D71C8A"/>
    <w:rsid w:val="00D81A6C"/>
    <w:rsid w:val="00D84A80"/>
    <w:rsid w:val="00D86C2A"/>
    <w:rsid w:val="00D87786"/>
    <w:rsid w:val="00D90730"/>
    <w:rsid w:val="00DA44CF"/>
    <w:rsid w:val="00DB302F"/>
    <w:rsid w:val="00DC08B3"/>
    <w:rsid w:val="00DC37D6"/>
    <w:rsid w:val="00DC7975"/>
    <w:rsid w:val="00DD739D"/>
    <w:rsid w:val="00DE10DE"/>
    <w:rsid w:val="00DE3DC8"/>
    <w:rsid w:val="00DF3914"/>
    <w:rsid w:val="00DF5DB4"/>
    <w:rsid w:val="00DF640F"/>
    <w:rsid w:val="00E07774"/>
    <w:rsid w:val="00E14B51"/>
    <w:rsid w:val="00E17565"/>
    <w:rsid w:val="00E23C4D"/>
    <w:rsid w:val="00E257AA"/>
    <w:rsid w:val="00E30B1D"/>
    <w:rsid w:val="00E30EB4"/>
    <w:rsid w:val="00E338C7"/>
    <w:rsid w:val="00E357AF"/>
    <w:rsid w:val="00E363FB"/>
    <w:rsid w:val="00E36C41"/>
    <w:rsid w:val="00E573F4"/>
    <w:rsid w:val="00E83AA5"/>
    <w:rsid w:val="00E93F76"/>
    <w:rsid w:val="00EB2E9E"/>
    <w:rsid w:val="00EC012A"/>
    <w:rsid w:val="00EE376F"/>
    <w:rsid w:val="00EF4EF9"/>
    <w:rsid w:val="00F00D4F"/>
    <w:rsid w:val="00F02345"/>
    <w:rsid w:val="00F077DC"/>
    <w:rsid w:val="00F14012"/>
    <w:rsid w:val="00F154AC"/>
    <w:rsid w:val="00F53939"/>
    <w:rsid w:val="00F62C66"/>
    <w:rsid w:val="00F648C5"/>
    <w:rsid w:val="00F95B48"/>
    <w:rsid w:val="00FA2627"/>
    <w:rsid w:val="00FA5863"/>
    <w:rsid w:val="00FB14D4"/>
    <w:rsid w:val="00FB36F8"/>
    <w:rsid w:val="00FC12C5"/>
    <w:rsid w:val="00FC5DC3"/>
    <w:rsid w:val="00FD4036"/>
    <w:rsid w:val="00FE15D9"/>
    <w:rsid w:val="00FF2A7C"/>
    <w:rsid w:val="00FF72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036"/>
    <w:rPr>
      <w:rFonts w:ascii="Arial" w:hAnsi="Arial"/>
      <w:sz w:val="22"/>
      <w:szCs w:val="24"/>
      <w:lang w:val="en-GB"/>
    </w:rPr>
  </w:style>
  <w:style w:type="paragraph" w:styleId="1">
    <w:name w:val="heading 1"/>
    <w:basedOn w:val="a"/>
    <w:next w:val="a"/>
    <w:link w:val="1Char"/>
    <w:autoRedefine/>
    <w:qFormat/>
    <w:rsid w:val="00FD4036"/>
    <w:pPr>
      <w:keepNext/>
      <w:keepLines/>
      <w:widowControl w:val="0"/>
      <w:spacing w:beforeLines="100" w:afterLines="100"/>
      <w:ind w:firstLineChars="200" w:firstLine="640"/>
      <w:outlineLvl w:val="0"/>
    </w:pPr>
    <w:rPr>
      <w:rFonts w:ascii="Times New Roman" w:eastAsia="黑体" w:hAnsi="Times New Roman"/>
      <w:bCs/>
      <w:kern w:val="44"/>
      <w:sz w:val="32"/>
      <w:szCs w:val="28"/>
      <w:lang w:val="en-US"/>
    </w:rPr>
  </w:style>
  <w:style w:type="paragraph" w:styleId="3">
    <w:name w:val="heading 3"/>
    <w:basedOn w:val="a"/>
    <w:next w:val="a"/>
    <w:link w:val="3Char"/>
    <w:autoRedefine/>
    <w:qFormat/>
    <w:rsid w:val="00FD4036"/>
    <w:pPr>
      <w:keepNext/>
      <w:keepLines/>
      <w:widowControl w:val="0"/>
      <w:tabs>
        <w:tab w:val="left" w:pos="7560"/>
      </w:tabs>
      <w:spacing w:beforeLines="100" w:line="360" w:lineRule="auto"/>
      <w:ind w:firstLineChars="200" w:firstLine="506"/>
      <w:outlineLvl w:val="2"/>
    </w:pPr>
    <w:rPr>
      <w:rFonts w:ascii="宋体" w:hAnsi="宋体"/>
      <w:b/>
      <w:bCs/>
      <w:spacing w:val="6"/>
      <w:kern w:val="2"/>
      <w:sz w:val="24"/>
      <w:lang w:val="en-US"/>
    </w:rPr>
  </w:style>
  <w:style w:type="paragraph" w:styleId="7">
    <w:name w:val="heading 7"/>
    <w:basedOn w:val="a"/>
    <w:next w:val="a"/>
    <w:link w:val="7Char"/>
    <w:qFormat/>
    <w:rsid w:val="00FD4036"/>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D4036"/>
    <w:rPr>
      <w:rFonts w:eastAsia="黑体"/>
      <w:bCs/>
      <w:kern w:val="44"/>
      <w:sz w:val="32"/>
      <w:szCs w:val="28"/>
      <w:lang w:val="en-US" w:eastAsia="zh-CN" w:bidi="ar-SA"/>
    </w:rPr>
  </w:style>
  <w:style w:type="character" w:customStyle="1" w:styleId="3Char">
    <w:name w:val="标题 3 Char"/>
    <w:basedOn w:val="a0"/>
    <w:link w:val="3"/>
    <w:rsid w:val="00FD4036"/>
    <w:rPr>
      <w:rFonts w:ascii="宋体" w:eastAsia="宋体" w:hAnsi="宋体"/>
      <w:b/>
      <w:bCs/>
      <w:spacing w:val="6"/>
      <w:kern w:val="2"/>
      <w:sz w:val="24"/>
      <w:szCs w:val="24"/>
      <w:lang w:val="en-US" w:eastAsia="zh-CN" w:bidi="ar-SA"/>
    </w:rPr>
  </w:style>
  <w:style w:type="character" w:customStyle="1" w:styleId="7Char">
    <w:name w:val="标题 7 Char"/>
    <w:basedOn w:val="a0"/>
    <w:link w:val="7"/>
    <w:rsid w:val="00FD4036"/>
    <w:rPr>
      <w:rFonts w:ascii="Arial" w:hAnsi="Arial"/>
      <w:b/>
      <w:bCs/>
      <w:sz w:val="24"/>
      <w:szCs w:val="24"/>
      <w:lang w:val="en-GB"/>
    </w:rPr>
  </w:style>
  <w:style w:type="character" w:styleId="a3">
    <w:name w:val="Strong"/>
    <w:basedOn w:val="a0"/>
    <w:qFormat/>
    <w:rsid w:val="00FD4036"/>
    <w:rPr>
      <w:rFonts w:cs="Times New Roman"/>
      <w:b/>
      <w:bCs/>
    </w:rPr>
  </w:style>
  <w:style w:type="paragraph" w:customStyle="1" w:styleId="a4">
    <w:name w:val="一级标题"/>
    <w:basedOn w:val="a"/>
    <w:link w:val="Char"/>
    <w:qFormat/>
    <w:rsid w:val="00FD4036"/>
    <w:pPr>
      <w:keepNext/>
      <w:keepLines/>
      <w:widowControl w:val="0"/>
      <w:spacing w:beforeLines="100" w:afterLines="100" w:line="360" w:lineRule="auto"/>
      <w:ind w:firstLineChars="200" w:firstLine="747"/>
      <w:outlineLvl w:val="0"/>
    </w:pPr>
    <w:rPr>
      <w:rFonts w:ascii="宋体" w:hAnsi="宋体" w:cs="宋体"/>
      <w:b/>
      <w:spacing w:val="6"/>
      <w:kern w:val="44"/>
      <w:sz w:val="36"/>
      <w:szCs w:val="36"/>
      <w:lang w:val="en-US"/>
    </w:rPr>
  </w:style>
  <w:style w:type="character" w:customStyle="1" w:styleId="Char">
    <w:name w:val="一级标题 Char"/>
    <w:basedOn w:val="a0"/>
    <w:link w:val="a4"/>
    <w:rsid w:val="00FD4036"/>
    <w:rPr>
      <w:rFonts w:ascii="宋体" w:hAnsi="宋体" w:cs="宋体"/>
      <w:b/>
      <w:spacing w:val="6"/>
      <w:kern w:val="44"/>
      <w:sz w:val="36"/>
      <w:szCs w:val="36"/>
    </w:rPr>
  </w:style>
  <w:style w:type="paragraph" w:customStyle="1" w:styleId="a5">
    <w:name w:val="新正文"/>
    <w:basedOn w:val="a"/>
    <w:link w:val="Char0"/>
    <w:qFormat/>
    <w:rsid w:val="00FD4036"/>
    <w:pPr>
      <w:widowControl w:val="0"/>
      <w:spacing w:line="360" w:lineRule="auto"/>
      <w:ind w:firstLineChars="200" w:firstLine="444"/>
    </w:pPr>
    <w:rPr>
      <w:rFonts w:ascii="Times New Roman" w:hAnsi="Times New Roman"/>
      <w:spacing w:val="6"/>
      <w:kern w:val="2"/>
      <w:sz w:val="21"/>
      <w:szCs w:val="21"/>
      <w:lang w:val="en-US"/>
    </w:rPr>
  </w:style>
  <w:style w:type="character" w:customStyle="1" w:styleId="Char0">
    <w:name w:val="新正文 Char"/>
    <w:basedOn w:val="a0"/>
    <w:link w:val="a5"/>
    <w:rsid w:val="00FD4036"/>
    <w:rPr>
      <w:spacing w:val="6"/>
      <w:kern w:val="2"/>
      <w:sz w:val="21"/>
      <w:szCs w:val="21"/>
    </w:rPr>
  </w:style>
  <w:style w:type="paragraph" w:customStyle="1" w:styleId="a6">
    <w:name w:val="三级标题"/>
    <w:link w:val="Char1"/>
    <w:qFormat/>
    <w:rsid w:val="00FD4036"/>
  </w:style>
  <w:style w:type="paragraph" w:styleId="a7">
    <w:name w:val="Body Text Indent"/>
    <w:basedOn w:val="a"/>
    <w:link w:val="Char2"/>
    <w:uiPriority w:val="99"/>
    <w:semiHidden/>
    <w:unhideWhenUsed/>
    <w:rsid w:val="00FD4036"/>
    <w:pPr>
      <w:spacing w:after="120"/>
      <w:ind w:leftChars="200" w:left="420"/>
    </w:pPr>
  </w:style>
  <w:style w:type="character" w:customStyle="1" w:styleId="Char2">
    <w:name w:val="正文文本缩进 Char"/>
    <w:basedOn w:val="a0"/>
    <w:link w:val="a7"/>
    <w:uiPriority w:val="99"/>
    <w:semiHidden/>
    <w:rsid w:val="00FD4036"/>
    <w:rPr>
      <w:rFonts w:ascii="Arial" w:hAnsi="Arial"/>
      <w:sz w:val="22"/>
      <w:szCs w:val="24"/>
      <w:lang w:val="en-GB"/>
    </w:rPr>
  </w:style>
  <w:style w:type="character" w:customStyle="1" w:styleId="Char1">
    <w:name w:val="三级标题 Char"/>
    <w:basedOn w:val="Char2"/>
    <w:link w:val="a6"/>
    <w:rsid w:val="00FD4036"/>
  </w:style>
  <w:style w:type="paragraph" w:customStyle="1" w:styleId="a8">
    <w:name w:val="二级标题"/>
    <w:basedOn w:val="a6"/>
    <w:link w:val="Char3"/>
    <w:qFormat/>
    <w:rsid w:val="00FD4036"/>
    <w:pPr>
      <w:widowControl w:val="0"/>
      <w:adjustRightInd w:val="0"/>
      <w:spacing w:beforeLines="100" w:line="360" w:lineRule="auto"/>
      <w:ind w:firstLineChars="200" w:firstLine="506"/>
      <w:jc w:val="both"/>
      <w:outlineLvl w:val="1"/>
    </w:pPr>
    <w:rPr>
      <w:rFonts w:ascii="宋体"/>
      <w:b/>
      <w:spacing w:val="6"/>
      <w:kern w:val="2"/>
      <w:sz w:val="24"/>
    </w:rPr>
  </w:style>
  <w:style w:type="character" w:customStyle="1" w:styleId="Char3">
    <w:name w:val="二级标题 Char"/>
    <w:basedOn w:val="Char1"/>
    <w:link w:val="a8"/>
    <w:rsid w:val="00FD4036"/>
    <w:rPr>
      <w:rFonts w:ascii="宋体"/>
      <w:b/>
      <w:spacing w:val="6"/>
      <w:kern w:val="2"/>
      <w:sz w:val="24"/>
    </w:rPr>
  </w:style>
  <w:style w:type="paragraph" w:customStyle="1" w:styleId="a9">
    <w:name w:val="四级标题"/>
    <w:basedOn w:val="a"/>
    <w:link w:val="Char4"/>
    <w:qFormat/>
    <w:rsid w:val="00FD4036"/>
    <w:pPr>
      <w:widowControl w:val="0"/>
      <w:snapToGrid w:val="0"/>
      <w:spacing w:beforeLines="100" w:line="360" w:lineRule="auto"/>
      <w:ind w:firstLineChars="200" w:firstLine="446"/>
      <w:outlineLvl w:val="3"/>
    </w:pPr>
    <w:rPr>
      <w:rFonts w:ascii="宋体" w:hAnsi="宋体"/>
      <w:b/>
      <w:spacing w:val="6"/>
      <w:kern w:val="2"/>
      <w:sz w:val="21"/>
      <w:szCs w:val="21"/>
      <w:lang w:val="en-US"/>
    </w:rPr>
  </w:style>
  <w:style w:type="character" w:customStyle="1" w:styleId="Char4">
    <w:name w:val="四级标题 Char"/>
    <w:basedOn w:val="a0"/>
    <w:link w:val="a9"/>
    <w:rsid w:val="00FD4036"/>
    <w:rPr>
      <w:rFonts w:ascii="宋体" w:hAnsi="宋体"/>
      <w:b/>
      <w:spacing w:val="6"/>
      <w:kern w:val="2"/>
      <w:sz w:val="21"/>
      <w:szCs w:val="21"/>
    </w:rPr>
  </w:style>
  <w:style w:type="paragraph" w:customStyle="1" w:styleId="aa">
    <w:name w:val="四级后标题"/>
    <w:basedOn w:val="a"/>
    <w:link w:val="Char5"/>
    <w:qFormat/>
    <w:rsid w:val="00FD4036"/>
    <w:pPr>
      <w:widowControl w:val="0"/>
      <w:snapToGrid w:val="0"/>
      <w:spacing w:beforeLines="100" w:line="360" w:lineRule="auto"/>
      <w:ind w:firstLineChars="200" w:firstLine="446"/>
    </w:pPr>
    <w:rPr>
      <w:rFonts w:ascii="宋体" w:hAnsi="宋体"/>
      <w:b/>
      <w:spacing w:val="6"/>
      <w:kern w:val="2"/>
      <w:sz w:val="21"/>
      <w:szCs w:val="21"/>
      <w:lang w:val="en-US"/>
    </w:rPr>
  </w:style>
  <w:style w:type="character" w:customStyle="1" w:styleId="Char5">
    <w:name w:val="四级后标题 Char"/>
    <w:basedOn w:val="a0"/>
    <w:link w:val="aa"/>
    <w:rsid w:val="00FD4036"/>
    <w:rPr>
      <w:rFonts w:ascii="宋体" w:hAnsi="宋体"/>
      <w:b/>
      <w:spacing w:val="6"/>
      <w:kern w:val="2"/>
      <w:sz w:val="21"/>
      <w:szCs w:val="21"/>
    </w:rPr>
  </w:style>
  <w:style w:type="paragraph" w:customStyle="1" w:styleId="ab">
    <w:name w:val="明细表名称"/>
    <w:basedOn w:val="a"/>
    <w:link w:val="Char6"/>
    <w:qFormat/>
    <w:rsid w:val="00FD4036"/>
    <w:pPr>
      <w:widowControl w:val="0"/>
      <w:spacing w:line="360" w:lineRule="auto"/>
      <w:ind w:firstLineChars="200" w:firstLine="492"/>
    </w:pPr>
    <w:rPr>
      <w:rFonts w:ascii="宋体" w:hAnsi="宋体"/>
      <w:bCs/>
      <w:kern w:val="2"/>
      <w:sz w:val="24"/>
      <w:lang w:val="en-US"/>
    </w:rPr>
  </w:style>
  <w:style w:type="character" w:customStyle="1" w:styleId="Char6">
    <w:name w:val="明细表名称 Char"/>
    <w:basedOn w:val="a0"/>
    <w:link w:val="ab"/>
    <w:rsid w:val="00FD4036"/>
    <w:rPr>
      <w:rFonts w:ascii="宋体" w:hAnsi="宋体"/>
      <w:bCs/>
      <w:kern w:val="2"/>
      <w:sz w:val="24"/>
      <w:szCs w:val="24"/>
    </w:rPr>
  </w:style>
  <w:style w:type="paragraph" w:styleId="ac">
    <w:name w:val="header"/>
    <w:basedOn w:val="a"/>
    <w:link w:val="Char7"/>
    <w:uiPriority w:val="99"/>
    <w:semiHidden/>
    <w:unhideWhenUsed/>
    <w:rsid w:val="00011B89"/>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0"/>
    <w:link w:val="ac"/>
    <w:uiPriority w:val="99"/>
    <w:semiHidden/>
    <w:rsid w:val="00011B89"/>
    <w:rPr>
      <w:rFonts w:ascii="Arial" w:hAnsi="Arial"/>
      <w:sz w:val="18"/>
      <w:szCs w:val="18"/>
      <w:lang w:val="en-GB"/>
    </w:rPr>
  </w:style>
  <w:style w:type="paragraph" w:styleId="ad">
    <w:name w:val="footer"/>
    <w:basedOn w:val="a"/>
    <w:link w:val="Char8"/>
    <w:uiPriority w:val="99"/>
    <w:unhideWhenUsed/>
    <w:rsid w:val="00011B89"/>
    <w:pPr>
      <w:tabs>
        <w:tab w:val="center" w:pos="4153"/>
        <w:tab w:val="right" w:pos="8306"/>
      </w:tabs>
      <w:snapToGrid w:val="0"/>
    </w:pPr>
    <w:rPr>
      <w:sz w:val="18"/>
      <w:szCs w:val="18"/>
    </w:rPr>
  </w:style>
  <w:style w:type="character" w:customStyle="1" w:styleId="Char8">
    <w:name w:val="页脚 Char"/>
    <w:basedOn w:val="a0"/>
    <w:link w:val="ad"/>
    <w:uiPriority w:val="99"/>
    <w:rsid w:val="00011B89"/>
    <w:rPr>
      <w:rFonts w:ascii="Arial" w:hAnsi="Arial"/>
      <w:sz w:val="18"/>
      <w:szCs w:val="18"/>
      <w:lang w:val="en-GB"/>
    </w:rPr>
  </w:style>
  <w:style w:type="paragraph" w:styleId="ae">
    <w:name w:val="List Paragraph"/>
    <w:basedOn w:val="a"/>
    <w:uiPriority w:val="34"/>
    <w:qFormat/>
    <w:rsid w:val="00011B89"/>
    <w:pPr>
      <w:ind w:firstLineChars="200" w:firstLine="420"/>
    </w:pPr>
  </w:style>
  <w:style w:type="paragraph" w:styleId="af">
    <w:name w:val="Balloon Text"/>
    <w:basedOn w:val="a"/>
    <w:link w:val="Char9"/>
    <w:uiPriority w:val="99"/>
    <w:semiHidden/>
    <w:unhideWhenUsed/>
    <w:rsid w:val="00DF5DB4"/>
    <w:rPr>
      <w:sz w:val="18"/>
      <w:szCs w:val="18"/>
    </w:rPr>
  </w:style>
  <w:style w:type="character" w:customStyle="1" w:styleId="Char9">
    <w:name w:val="批注框文本 Char"/>
    <w:basedOn w:val="a0"/>
    <w:link w:val="af"/>
    <w:uiPriority w:val="99"/>
    <w:semiHidden/>
    <w:rsid w:val="00DF5DB4"/>
    <w:rPr>
      <w:rFonts w:ascii="Arial" w:hAnsi="Arial"/>
      <w:sz w:val="18"/>
      <w:szCs w:val="18"/>
      <w:lang w:val="en-GB"/>
    </w:rPr>
  </w:style>
  <w:style w:type="paragraph" w:customStyle="1" w:styleId="Default">
    <w:name w:val="Default"/>
    <w:rsid w:val="001B3160"/>
    <w:pPr>
      <w:widowControl w:val="0"/>
      <w:autoSpaceDE w:val="0"/>
      <w:autoSpaceDN w:val="0"/>
      <w:adjustRightInd w:val="0"/>
    </w:pPr>
    <w:rPr>
      <w:rFonts w:ascii="宋体" w:cs="宋体"/>
      <w:color w:val="000000"/>
      <w:sz w:val="24"/>
      <w:szCs w:val="24"/>
    </w:rPr>
  </w:style>
  <w:style w:type="paragraph" w:styleId="af0">
    <w:name w:val="Date"/>
    <w:basedOn w:val="a"/>
    <w:next w:val="a"/>
    <w:link w:val="Chara"/>
    <w:uiPriority w:val="99"/>
    <w:semiHidden/>
    <w:unhideWhenUsed/>
    <w:rsid w:val="009B5BF8"/>
    <w:pPr>
      <w:ind w:leftChars="2500" w:left="100"/>
    </w:pPr>
  </w:style>
  <w:style w:type="character" w:customStyle="1" w:styleId="Chara">
    <w:name w:val="日期 Char"/>
    <w:basedOn w:val="a0"/>
    <w:link w:val="af0"/>
    <w:uiPriority w:val="99"/>
    <w:semiHidden/>
    <w:rsid w:val="009B5BF8"/>
    <w:rPr>
      <w:rFonts w:ascii="Arial" w:hAnsi="Arial"/>
      <w:sz w:val="22"/>
      <w:szCs w:val="24"/>
      <w:lang w:val="en-GB"/>
    </w:rPr>
  </w:style>
  <w:style w:type="table" w:styleId="af1">
    <w:name w:val="Table Grid"/>
    <w:basedOn w:val="a1"/>
    <w:uiPriority w:val="59"/>
    <w:rsid w:val="00C201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4150">
      <w:bodyDiv w:val="1"/>
      <w:marLeft w:val="0"/>
      <w:marRight w:val="0"/>
      <w:marTop w:val="0"/>
      <w:marBottom w:val="0"/>
      <w:divBdr>
        <w:top w:val="none" w:sz="0" w:space="0" w:color="auto"/>
        <w:left w:val="none" w:sz="0" w:space="0" w:color="auto"/>
        <w:bottom w:val="none" w:sz="0" w:space="0" w:color="auto"/>
        <w:right w:val="none" w:sz="0" w:space="0" w:color="auto"/>
      </w:divBdr>
    </w:div>
    <w:div w:id="14767167">
      <w:bodyDiv w:val="1"/>
      <w:marLeft w:val="0"/>
      <w:marRight w:val="0"/>
      <w:marTop w:val="0"/>
      <w:marBottom w:val="0"/>
      <w:divBdr>
        <w:top w:val="none" w:sz="0" w:space="0" w:color="auto"/>
        <w:left w:val="none" w:sz="0" w:space="0" w:color="auto"/>
        <w:bottom w:val="none" w:sz="0" w:space="0" w:color="auto"/>
        <w:right w:val="none" w:sz="0" w:space="0" w:color="auto"/>
      </w:divBdr>
    </w:div>
    <w:div w:id="69544165">
      <w:bodyDiv w:val="1"/>
      <w:marLeft w:val="0"/>
      <w:marRight w:val="0"/>
      <w:marTop w:val="0"/>
      <w:marBottom w:val="0"/>
      <w:divBdr>
        <w:top w:val="none" w:sz="0" w:space="0" w:color="auto"/>
        <w:left w:val="none" w:sz="0" w:space="0" w:color="auto"/>
        <w:bottom w:val="none" w:sz="0" w:space="0" w:color="auto"/>
        <w:right w:val="none" w:sz="0" w:space="0" w:color="auto"/>
      </w:divBdr>
    </w:div>
    <w:div w:id="84032914">
      <w:bodyDiv w:val="1"/>
      <w:marLeft w:val="0"/>
      <w:marRight w:val="0"/>
      <w:marTop w:val="0"/>
      <w:marBottom w:val="0"/>
      <w:divBdr>
        <w:top w:val="none" w:sz="0" w:space="0" w:color="auto"/>
        <w:left w:val="none" w:sz="0" w:space="0" w:color="auto"/>
        <w:bottom w:val="none" w:sz="0" w:space="0" w:color="auto"/>
        <w:right w:val="none" w:sz="0" w:space="0" w:color="auto"/>
      </w:divBdr>
    </w:div>
    <w:div w:id="92476202">
      <w:bodyDiv w:val="1"/>
      <w:marLeft w:val="0"/>
      <w:marRight w:val="0"/>
      <w:marTop w:val="0"/>
      <w:marBottom w:val="0"/>
      <w:divBdr>
        <w:top w:val="none" w:sz="0" w:space="0" w:color="auto"/>
        <w:left w:val="none" w:sz="0" w:space="0" w:color="auto"/>
        <w:bottom w:val="none" w:sz="0" w:space="0" w:color="auto"/>
        <w:right w:val="none" w:sz="0" w:space="0" w:color="auto"/>
      </w:divBdr>
    </w:div>
    <w:div w:id="132719693">
      <w:bodyDiv w:val="1"/>
      <w:marLeft w:val="0"/>
      <w:marRight w:val="0"/>
      <w:marTop w:val="0"/>
      <w:marBottom w:val="0"/>
      <w:divBdr>
        <w:top w:val="none" w:sz="0" w:space="0" w:color="auto"/>
        <w:left w:val="none" w:sz="0" w:space="0" w:color="auto"/>
        <w:bottom w:val="none" w:sz="0" w:space="0" w:color="auto"/>
        <w:right w:val="none" w:sz="0" w:space="0" w:color="auto"/>
      </w:divBdr>
    </w:div>
    <w:div w:id="136537270">
      <w:bodyDiv w:val="1"/>
      <w:marLeft w:val="0"/>
      <w:marRight w:val="0"/>
      <w:marTop w:val="0"/>
      <w:marBottom w:val="0"/>
      <w:divBdr>
        <w:top w:val="none" w:sz="0" w:space="0" w:color="auto"/>
        <w:left w:val="none" w:sz="0" w:space="0" w:color="auto"/>
        <w:bottom w:val="none" w:sz="0" w:space="0" w:color="auto"/>
        <w:right w:val="none" w:sz="0" w:space="0" w:color="auto"/>
      </w:divBdr>
    </w:div>
    <w:div w:id="180706854">
      <w:bodyDiv w:val="1"/>
      <w:marLeft w:val="0"/>
      <w:marRight w:val="0"/>
      <w:marTop w:val="0"/>
      <w:marBottom w:val="0"/>
      <w:divBdr>
        <w:top w:val="none" w:sz="0" w:space="0" w:color="auto"/>
        <w:left w:val="none" w:sz="0" w:space="0" w:color="auto"/>
        <w:bottom w:val="none" w:sz="0" w:space="0" w:color="auto"/>
        <w:right w:val="none" w:sz="0" w:space="0" w:color="auto"/>
      </w:divBdr>
    </w:div>
    <w:div w:id="187375648">
      <w:bodyDiv w:val="1"/>
      <w:marLeft w:val="0"/>
      <w:marRight w:val="0"/>
      <w:marTop w:val="0"/>
      <w:marBottom w:val="0"/>
      <w:divBdr>
        <w:top w:val="none" w:sz="0" w:space="0" w:color="auto"/>
        <w:left w:val="none" w:sz="0" w:space="0" w:color="auto"/>
        <w:bottom w:val="none" w:sz="0" w:space="0" w:color="auto"/>
        <w:right w:val="none" w:sz="0" w:space="0" w:color="auto"/>
      </w:divBdr>
    </w:div>
    <w:div w:id="196702458">
      <w:bodyDiv w:val="1"/>
      <w:marLeft w:val="0"/>
      <w:marRight w:val="0"/>
      <w:marTop w:val="0"/>
      <w:marBottom w:val="0"/>
      <w:divBdr>
        <w:top w:val="none" w:sz="0" w:space="0" w:color="auto"/>
        <w:left w:val="none" w:sz="0" w:space="0" w:color="auto"/>
        <w:bottom w:val="none" w:sz="0" w:space="0" w:color="auto"/>
        <w:right w:val="none" w:sz="0" w:space="0" w:color="auto"/>
      </w:divBdr>
    </w:div>
    <w:div w:id="200476705">
      <w:bodyDiv w:val="1"/>
      <w:marLeft w:val="0"/>
      <w:marRight w:val="0"/>
      <w:marTop w:val="0"/>
      <w:marBottom w:val="0"/>
      <w:divBdr>
        <w:top w:val="none" w:sz="0" w:space="0" w:color="auto"/>
        <w:left w:val="none" w:sz="0" w:space="0" w:color="auto"/>
        <w:bottom w:val="none" w:sz="0" w:space="0" w:color="auto"/>
        <w:right w:val="none" w:sz="0" w:space="0" w:color="auto"/>
      </w:divBdr>
    </w:div>
    <w:div w:id="223879342">
      <w:bodyDiv w:val="1"/>
      <w:marLeft w:val="0"/>
      <w:marRight w:val="0"/>
      <w:marTop w:val="0"/>
      <w:marBottom w:val="0"/>
      <w:divBdr>
        <w:top w:val="none" w:sz="0" w:space="0" w:color="auto"/>
        <w:left w:val="none" w:sz="0" w:space="0" w:color="auto"/>
        <w:bottom w:val="none" w:sz="0" w:space="0" w:color="auto"/>
        <w:right w:val="none" w:sz="0" w:space="0" w:color="auto"/>
      </w:divBdr>
    </w:div>
    <w:div w:id="227568827">
      <w:bodyDiv w:val="1"/>
      <w:marLeft w:val="0"/>
      <w:marRight w:val="0"/>
      <w:marTop w:val="0"/>
      <w:marBottom w:val="0"/>
      <w:divBdr>
        <w:top w:val="none" w:sz="0" w:space="0" w:color="auto"/>
        <w:left w:val="none" w:sz="0" w:space="0" w:color="auto"/>
        <w:bottom w:val="none" w:sz="0" w:space="0" w:color="auto"/>
        <w:right w:val="none" w:sz="0" w:space="0" w:color="auto"/>
      </w:divBdr>
    </w:div>
    <w:div w:id="235210533">
      <w:bodyDiv w:val="1"/>
      <w:marLeft w:val="0"/>
      <w:marRight w:val="0"/>
      <w:marTop w:val="0"/>
      <w:marBottom w:val="0"/>
      <w:divBdr>
        <w:top w:val="none" w:sz="0" w:space="0" w:color="auto"/>
        <w:left w:val="none" w:sz="0" w:space="0" w:color="auto"/>
        <w:bottom w:val="none" w:sz="0" w:space="0" w:color="auto"/>
        <w:right w:val="none" w:sz="0" w:space="0" w:color="auto"/>
      </w:divBdr>
    </w:div>
    <w:div w:id="249241693">
      <w:bodyDiv w:val="1"/>
      <w:marLeft w:val="0"/>
      <w:marRight w:val="0"/>
      <w:marTop w:val="0"/>
      <w:marBottom w:val="0"/>
      <w:divBdr>
        <w:top w:val="none" w:sz="0" w:space="0" w:color="auto"/>
        <w:left w:val="none" w:sz="0" w:space="0" w:color="auto"/>
        <w:bottom w:val="none" w:sz="0" w:space="0" w:color="auto"/>
        <w:right w:val="none" w:sz="0" w:space="0" w:color="auto"/>
      </w:divBdr>
    </w:div>
    <w:div w:id="253902541">
      <w:bodyDiv w:val="1"/>
      <w:marLeft w:val="0"/>
      <w:marRight w:val="0"/>
      <w:marTop w:val="0"/>
      <w:marBottom w:val="0"/>
      <w:divBdr>
        <w:top w:val="none" w:sz="0" w:space="0" w:color="auto"/>
        <w:left w:val="none" w:sz="0" w:space="0" w:color="auto"/>
        <w:bottom w:val="none" w:sz="0" w:space="0" w:color="auto"/>
        <w:right w:val="none" w:sz="0" w:space="0" w:color="auto"/>
      </w:divBdr>
    </w:div>
    <w:div w:id="267662735">
      <w:bodyDiv w:val="1"/>
      <w:marLeft w:val="0"/>
      <w:marRight w:val="0"/>
      <w:marTop w:val="0"/>
      <w:marBottom w:val="0"/>
      <w:divBdr>
        <w:top w:val="none" w:sz="0" w:space="0" w:color="auto"/>
        <w:left w:val="none" w:sz="0" w:space="0" w:color="auto"/>
        <w:bottom w:val="none" w:sz="0" w:space="0" w:color="auto"/>
        <w:right w:val="none" w:sz="0" w:space="0" w:color="auto"/>
      </w:divBdr>
    </w:div>
    <w:div w:id="284627663">
      <w:bodyDiv w:val="1"/>
      <w:marLeft w:val="0"/>
      <w:marRight w:val="0"/>
      <w:marTop w:val="0"/>
      <w:marBottom w:val="0"/>
      <w:divBdr>
        <w:top w:val="none" w:sz="0" w:space="0" w:color="auto"/>
        <w:left w:val="none" w:sz="0" w:space="0" w:color="auto"/>
        <w:bottom w:val="none" w:sz="0" w:space="0" w:color="auto"/>
        <w:right w:val="none" w:sz="0" w:space="0" w:color="auto"/>
      </w:divBdr>
    </w:div>
    <w:div w:id="303318012">
      <w:bodyDiv w:val="1"/>
      <w:marLeft w:val="0"/>
      <w:marRight w:val="0"/>
      <w:marTop w:val="0"/>
      <w:marBottom w:val="0"/>
      <w:divBdr>
        <w:top w:val="none" w:sz="0" w:space="0" w:color="auto"/>
        <w:left w:val="none" w:sz="0" w:space="0" w:color="auto"/>
        <w:bottom w:val="none" w:sz="0" w:space="0" w:color="auto"/>
        <w:right w:val="none" w:sz="0" w:space="0" w:color="auto"/>
      </w:divBdr>
    </w:div>
    <w:div w:id="312875448">
      <w:bodyDiv w:val="1"/>
      <w:marLeft w:val="0"/>
      <w:marRight w:val="0"/>
      <w:marTop w:val="0"/>
      <w:marBottom w:val="0"/>
      <w:divBdr>
        <w:top w:val="none" w:sz="0" w:space="0" w:color="auto"/>
        <w:left w:val="none" w:sz="0" w:space="0" w:color="auto"/>
        <w:bottom w:val="none" w:sz="0" w:space="0" w:color="auto"/>
        <w:right w:val="none" w:sz="0" w:space="0" w:color="auto"/>
      </w:divBdr>
    </w:div>
    <w:div w:id="358240780">
      <w:bodyDiv w:val="1"/>
      <w:marLeft w:val="0"/>
      <w:marRight w:val="0"/>
      <w:marTop w:val="0"/>
      <w:marBottom w:val="0"/>
      <w:divBdr>
        <w:top w:val="none" w:sz="0" w:space="0" w:color="auto"/>
        <w:left w:val="none" w:sz="0" w:space="0" w:color="auto"/>
        <w:bottom w:val="none" w:sz="0" w:space="0" w:color="auto"/>
        <w:right w:val="none" w:sz="0" w:space="0" w:color="auto"/>
      </w:divBdr>
    </w:div>
    <w:div w:id="374618442">
      <w:bodyDiv w:val="1"/>
      <w:marLeft w:val="0"/>
      <w:marRight w:val="0"/>
      <w:marTop w:val="0"/>
      <w:marBottom w:val="0"/>
      <w:divBdr>
        <w:top w:val="none" w:sz="0" w:space="0" w:color="auto"/>
        <w:left w:val="none" w:sz="0" w:space="0" w:color="auto"/>
        <w:bottom w:val="none" w:sz="0" w:space="0" w:color="auto"/>
        <w:right w:val="none" w:sz="0" w:space="0" w:color="auto"/>
      </w:divBdr>
    </w:div>
    <w:div w:id="418209580">
      <w:bodyDiv w:val="1"/>
      <w:marLeft w:val="0"/>
      <w:marRight w:val="0"/>
      <w:marTop w:val="0"/>
      <w:marBottom w:val="0"/>
      <w:divBdr>
        <w:top w:val="none" w:sz="0" w:space="0" w:color="auto"/>
        <w:left w:val="none" w:sz="0" w:space="0" w:color="auto"/>
        <w:bottom w:val="none" w:sz="0" w:space="0" w:color="auto"/>
        <w:right w:val="none" w:sz="0" w:space="0" w:color="auto"/>
      </w:divBdr>
    </w:div>
    <w:div w:id="453595598">
      <w:bodyDiv w:val="1"/>
      <w:marLeft w:val="0"/>
      <w:marRight w:val="0"/>
      <w:marTop w:val="0"/>
      <w:marBottom w:val="0"/>
      <w:divBdr>
        <w:top w:val="none" w:sz="0" w:space="0" w:color="auto"/>
        <w:left w:val="none" w:sz="0" w:space="0" w:color="auto"/>
        <w:bottom w:val="none" w:sz="0" w:space="0" w:color="auto"/>
        <w:right w:val="none" w:sz="0" w:space="0" w:color="auto"/>
      </w:divBdr>
    </w:div>
    <w:div w:id="547179796">
      <w:bodyDiv w:val="1"/>
      <w:marLeft w:val="0"/>
      <w:marRight w:val="0"/>
      <w:marTop w:val="0"/>
      <w:marBottom w:val="0"/>
      <w:divBdr>
        <w:top w:val="none" w:sz="0" w:space="0" w:color="auto"/>
        <w:left w:val="none" w:sz="0" w:space="0" w:color="auto"/>
        <w:bottom w:val="none" w:sz="0" w:space="0" w:color="auto"/>
        <w:right w:val="none" w:sz="0" w:space="0" w:color="auto"/>
      </w:divBdr>
    </w:div>
    <w:div w:id="573123564">
      <w:bodyDiv w:val="1"/>
      <w:marLeft w:val="0"/>
      <w:marRight w:val="0"/>
      <w:marTop w:val="0"/>
      <w:marBottom w:val="0"/>
      <w:divBdr>
        <w:top w:val="none" w:sz="0" w:space="0" w:color="auto"/>
        <w:left w:val="none" w:sz="0" w:space="0" w:color="auto"/>
        <w:bottom w:val="none" w:sz="0" w:space="0" w:color="auto"/>
        <w:right w:val="none" w:sz="0" w:space="0" w:color="auto"/>
      </w:divBdr>
    </w:div>
    <w:div w:id="598175347">
      <w:bodyDiv w:val="1"/>
      <w:marLeft w:val="0"/>
      <w:marRight w:val="0"/>
      <w:marTop w:val="0"/>
      <w:marBottom w:val="0"/>
      <w:divBdr>
        <w:top w:val="none" w:sz="0" w:space="0" w:color="auto"/>
        <w:left w:val="none" w:sz="0" w:space="0" w:color="auto"/>
        <w:bottom w:val="none" w:sz="0" w:space="0" w:color="auto"/>
        <w:right w:val="none" w:sz="0" w:space="0" w:color="auto"/>
      </w:divBdr>
    </w:div>
    <w:div w:id="637689481">
      <w:bodyDiv w:val="1"/>
      <w:marLeft w:val="0"/>
      <w:marRight w:val="0"/>
      <w:marTop w:val="0"/>
      <w:marBottom w:val="0"/>
      <w:divBdr>
        <w:top w:val="none" w:sz="0" w:space="0" w:color="auto"/>
        <w:left w:val="none" w:sz="0" w:space="0" w:color="auto"/>
        <w:bottom w:val="none" w:sz="0" w:space="0" w:color="auto"/>
        <w:right w:val="none" w:sz="0" w:space="0" w:color="auto"/>
      </w:divBdr>
    </w:div>
    <w:div w:id="661587894">
      <w:bodyDiv w:val="1"/>
      <w:marLeft w:val="0"/>
      <w:marRight w:val="0"/>
      <w:marTop w:val="0"/>
      <w:marBottom w:val="0"/>
      <w:divBdr>
        <w:top w:val="none" w:sz="0" w:space="0" w:color="auto"/>
        <w:left w:val="none" w:sz="0" w:space="0" w:color="auto"/>
        <w:bottom w:val="none" w:sz="0" w:space="0" w:color="auto"/>
        <w:right w:val="none" w:sz="0" w:space="0" w:color="auto"/>
      </w:divBdr>
    </w:div>
    <w:div w:id="674259440">
      <w:bodyDiv w:val="1"/>
      <w:marLeft w:val="0"/>
      <w:marRight w:val="0"/>
      <w:marTop w:val="0"/>
      <w:marBottom w:val="0"/>
      <w:divBdr>
        <w:top w:val="none" w:sz="0" w:space="0" w:color="auto"/>
        <w:left w:val="none" w:sz="0" w:space="0" w:color="auto"/>
        <w:bottom w:val="none" w:sz="0" w:space="0" w:color="auto"/>
        <w:right w:val="none" w:sz="0" w:space="0" w:color="auto"/>
      </w:divBdr>
    </w:div>
    <w:div w:id="703360154">
      <w:bodyDiv w:val="1"/>
      <w:marLeft w:val="0"/>
      <w:marRight w:val="0"/>
      <w:marTop w:val="0"/>
      <w:marBottom w:val="0"/>
      <w:divBdr>
        <w:top w:val="none" w:sz="0" w:space="0" w:color="auto"/>
        <w:left w:val="none" w:sz="0" w:space="0" w:color="auto"/>
        <w:bottom w:val="none" w:sz="0" w:space="0" w:color="auto"/>
        <w:right w:val="none" w:sz="0" w:space="0" w:color="auto"/>
      </w:divBdr>
    </w:div>
    <w:div w:id="709035056">
      <w:bodyDiv w:val="1"/>
      <w:marLeft w:val="0"/>
      <w:marRight w:val="0"/>
      <w:marTop w:val="0"/>
      <w:marBottom w:val="0"/>
      <w:divBdr>
        <w:top w:val="none" w:sz="0" w:space="0" w:color="auto"/>
        <w:left w:val="none" w:sz="0" w:space="0" w:color="auto"/>
        <w:bottom w:val="none" w:sz="0" w:space="0" w:color="auto"/>
        <w:right w:val="none" w:sz="0" w:space="0" w:color="auto"/>
      </w:divBdr>
    </w:div>
    <w:div w:id="752121458">
      <w:bodyDiv w:val="1"/>
      <w:marLeft w:val="0"/>
      <w:marRight w:val="0"/>
      <w:marTop w:val="0"/>
      <w:marBottom w:val="0"/>
      <w:divBdr>
        <w:top w:val="none" w:sz="0" w:space="0" w:color="auto"/>
        <w:left w:val="none" w:sz="0" w:space="0" w:color="auto"/>
        <w:bottom w:val="none" w:sz="0" w:space="0" w:color="auto"/>
        <w:right w:val="none" w:sz="0" w:space="0" w:color="auto"/>
      </w:divBdr>
    </w:div>
    <w:div w:id="808088446">
      <w:bodyDiv w:val="1"/>
      <w:marLeft w:val="0"/>
      <w:marRight w:val="0"/>
      <w:marTop w:val="0"/>
      <w:marBottom w:val="0"/>
      <w:divBdr>
        <w:top w:val="none" w:sz="0" w:space="0" w:color="auto"/>
        <w:left w:val="none" w:sz="0" w:space="0" w:color="auto"/>
        <w:bottom w:val="none" w:sz="0" w:space="0" w:color="auto"/>
        <w:right w:val="none" w:sz="0" w:space="0" w:color="auto"/>
      </w:divBdr>
    </w:div>
    <w:div w:id="827092794">
      <w:bodyDiv w:val="1"/>
      <w:marLeft w:val="0"/>
      <w:marRight w:val="0"/>
      <w:marTop w:val="0"/>
      <w:marBottom w:val="0"/>
      <w:divBdr>
        <w:top w:val="none" w:sz="0" w:space="0" w:color="auto"/>
        <w:left w:val="none" w:sz="0" w:space="0" w:color="auto"/>
        <w:bottom w:val="none" w:sz="0" w:space="0" w:color="auto"/>
        <w:right w:val="none" w:sz="0" w:space="0" w:color="auto"/>
      </w:divBdr>
    </w:div>
    <w:div w:id="869681611">
      <w:bodyDiv w:val="1"/>
      <w:marLeft w:val="0"/>
      <w:marRight w:val="0"/>
      <w:marTop w:val="0"/>
      <w:marBottom w:val="0"/>
      <w:divBdr>
        <w:top w:val="none" w:sz="0" w:space="0" w:color="auto"/>
        <w:left w:val="none" w:sz="0" w:space="0" w:color="auto"/>
        <w:bottom w:val="none" w:sz="0" w:space="0" w:color="auto"/>
        <w:right w:val="none" w:sz="0" w:space="0" w:color="auto"/>
      </w:divBdr>
    </w:div>
    <w:div w:id="924923449">
      <w:bodyDiv w:val="1"/>
      <w:marLeft w:val="0"/>
      <w:marRight w:val="0"/>
      <w:marTop w:val="0"/>
      <w:marBottom w:val="0"/>
      <w:divBdr>
        <w:top w:val="none" w:sz="0" w:space="0" w:color="auto"/>
        <w:left w:val="none" w:sz="0" w:space="0" w:color="auto"/>
        <w:bottom w:val="none" w:sz="0" w:space="0" w:color="auto"/>
        <w:right w:val="none" w:sz="0" w:space="0" w:color="auto"/>
      </w:divBdr>
    </w:div>
    <w:div w:id="938491540">
      <w:bodyDiv w:val="1"/>
      <w:marLeft w:val="0"/>
      <w:marRight w:val="0"/>
      <w:marTop w:val="0"/>
      <w:marBottom w:val="0"/>
      <w:divBdr>
        <w:top w:val="none" w:sz="0" w:space="0" w:color="auto"/>
        <w:left w:val="none" w:sz="0" w:space="0" w:color="auto"/>
        <w:bottom w:val="none" w:sz="0" w:space="0" w:color="auto"/>
        <w:right w:val="none" w:sz="0" w:space="0" w:color="auto"/>
      </w:divBdr>
    </w:div>
    <w:div w:id="941034763">
      <w:bodyDiv w:val="1"/>
      <w:marLeft w:val="0"/>
      <w:marRight w:val="0"/>
      <w:marTop w:val="0"/>
      <w:marBottom w:val="0"/>
      <w:divBdr>
        <w:top w:val="none" w:sz="0" w:space="0" w:color="auto"/>
        <w:left w:val="none" w:sz="0" w:space="0" w:color="auto"/>
        <w:bottom w:val="none" w:sz="0" w:space="0" w:color="auto"/>
        <w:right w:val="none" w:sz="0" w:space="0" w:color="auto"/>
      </w:divBdr>
    </w:div>
    <w:div w:id="1016276168">
      <w:bodyDiv w:val="1"/>
      <w:marLeft w:val="0"/>
      <w:marRight w:val="0"/>
      <w:marTop w:val="0"/>
      <w:marBottom w:val="0"/>
      <w:divBdr>
        <w:top w:val="none" w:sz="0" w:space="0" w:color="auto"/>
        <w:left w:val="none" w:sz="0" w:space="0" w:color="auto"/>
        <w:bottom w:val="none" w:sz="0" w:space="0" w:color="auto"/>
        <w:right w:val="none" w:sz="0" w:space="0" w:color="auto"/>
      </w:divBdr>
    </w:div>
    <w:div w:id="1023477225">
      <w:bodyDiv w:val="1"/>
      <w:marLeft w:val="0"/>
      <w:marRight w:val="0"/>
      <w:marTop w:val="0"/>
      <w:marBottom w:val="0"/>
      <w:divBdr>
        <w:top w:val="none" w:sz="0" w:space="0" w:color="auto"/>
        <w:left w:val="none" w:sz="0" w:space="0" w:color="auto"/>
        <w:bottom w:val="none" w:sz="0" w:space="0" w:color="auto"/>
        <w:right w:val="none" w:sz="0" w:space="0" w:color="auto"/>
      </w:divBdr>
    </w:div>
    <w:div w:id="1078094019">
      <w:bodyDiv w:val="1"/>
      <w:marLeft w:val="0"/>
      <w:marRight w:val="0"/>
      <w:marTop w:val="0"/>
      <w:marBottom w:val="0"/>
      <w:divBdr>
        <w:top w:val="none" w:sz="0" w:space="0" w:color="auto"/>
        <w:left w:val="none" w:sz="0" w:space="0" w:color="auto"/>
        <w:bottom w:val="none" w:sz="0" w:space="0" w:color="auto"/>
        <w:right w:val="none" w:sz="0" w:space="0" w:color="auto"/>
      </w:divBdr>
    </w:div>
    <w:div w:id="1106854516">
      <w:bodyDiv w:val="1"/>
      <w:marLeft w:val="0"/>
      <w:marRight w:val="0"/>
      <w:marTop w:val="0"/>
      <w:marBottom w:val="0"/>
      <w:divBdr>
        <w:top w:val="none" w:sz="0" w:space="0" w:color="auto"/>
        <w:left w:val="none" w:sz="0" w:space="0" w:color="auto"/>
        <w:bottom w:val="none" w:sz="0" w:space="0" w:color="auto"/>
        <w:right w:val="none" w:sz="0" w:space="0" w:color="auto"/>
      </w:divBdr>
    </w:div>
    <w:div w:id="1110932695">
      <w:bodyDiv w:val="1"/>
      <w:marLeft w:val="0"/>
      <w:marRight w:val="0"/>
      <w:marTop w:val="0"/>
      <w:marBottom w:val="0"/>
      <w:divBdr>
        <w:top w:val="none" w:sz="0" w:space="0" w:color="auto"/>
        <w:left w:val="none" w:sz="0" w:space="0" w:color="auto"/>
        <w:bottom w:val="none" w:sz="0" w:space="0" w:color="auto"/>
        <w:right w:val="none" w:sz="0" w:space="0" w:color="auto"/>
      </w:divBdr>
    </w:div>
    <w:div w:id="1140921694">
      <w:bodyDiv w:val="1"/>
      <w:marLeft w:val="0"/>
      <w:marRight w:val="0"/>
      <w:marTop w:val="0"/>
      <w:marBottom w:val="0"/>
      <w:divBdr>
        <w:top w:val="none" w:sz="0" w:space="0" w:color="auto"/>
        <w:left w:val="none" w:sz="0" w:space="0" w:color="auto"/>
        <w:bottom w:val="none" w:sz="0" w:space="0" w:color="auto"/>
        <w:right w:val="none" w:sz="0" w:space="0" w:color="auto"/>
      </w:divBdr>
    </w:div>
    <w:div w:id="1159273464">
      <w:bodyDiv w:val="1"/>
      <w:marLeft w:val="0"/>
      <w:marRight w:val="0"/>
      <w:marTop w:val="0"/>
      <w:marBottom w:val="0"/>
      <w:divBdr>
        <w:top w:val="none" w:sz="0" w:space="0" w:color="auto"/>
        <w:left w:val="none" w:sz="0" w:space="0" w:color="auto"/>
        <w:bottom w:val="none" w:sz="0" w:space="0" w:color="auto"/>
        <w:right w:val="none" w:sz="0" w:space="0" w:color="auto"/>
      </w:divBdr>
    </w:div>
    <w:div w:id="1193688715">
      <w:bodyDiv w:val="1"/>
      <w:marLeft w:val="0"/>
      <w:marRight w:val="0"/>
      <w:marTop w:val="0"/>
      <w:marBottom w:val="0"/>
      <w:divBdr>
        <w:top w:val="none" w:sz="0" w:space="0" w:color="auto"/>
        <w:left w:val="none" w:sz="0" w:space="0" w:color="auto"/>
        <w:bottom w:val="none" w:sz="0" w:space="0" w:color="auto"/>
        <w:right w:val="none" w:sz="0" w:space="0" w:color="auto"/>
      </w:divBdr>
    </w:div>
    <w:div w:id="1206715846">
      <w:bodyDiv w:val="1"/>
      <w:marLeft w:val="0"/>
      <w:marRight w:val="0"/>
      <w:marTop w:val="0"/>
      <w:marBottom w:val="0"/>
      <w:divBdr>
        <w:top w:val="none" w:sz="0" w:space="0" w:color="auto"/>
        <w:left w:val="none" w:sz="0" w:space="0" w:color="auto"/>
        <w:bottom w:val="none" w:sz="0" w:space="0" w:color="auto"/>
        <w:right w:val="none" w:sz="0" w:space="0" w:color="auto"/>
      </w:divBdr>
    </w:div>
    <w:div w:id="1296912314">
      <w:bodyDiv w:val="1"/>
      <w:marLeft w:val="0"/>
      <w:marRight w:val="0"/>
      <w:marTop w:val="0"/>
      <w:marBottom w:val="0"/>
      <w:divBdr>
        <w:top w:val="none" w:sz="0" w:space="0" w:color="auto"/>
        <w:left w:val="none" w:sz="0" w:space="0" w:color="auto"/>
        <w:bottom w:val="none" w:sz="0" w:space="0" w:color="auto"/>
        <w:right w:val="none" w:sz="0" w:space="0" w:color="auto"/>
      </w:divBdr>
    </w:div>
    <w:div w:id="1354723902">
      <w:bodyDiv w:val="1"/>
      <w:marLeft w:val="0"/>
      <w:marRight w:val="0"/>
      <w:marTop w:val="0"/>
      <w:marBottom w:val="0"/>
      <w:divBdr>
        <w:top w:val="none" w:sz="0" w:space="0" w:color="auto"/>
        <w:left w:val="none" w:sz="0" w:space="0" w:color="auto"/>
        <w:bottom w:val="none" w:sz="0" w:space="0" w:color="auto"/>
        <w:right w:val="none" w:sz="0" w:space="0" w:color="auto"/>
      </w:divBdr>
    </w:div>
    <w:div w:id="1361932919">
      <w:bodyDiv w:val="1"/>
      <w:marLeft w:val="0"/>
      <w:marRight w:val="0"/>
      <w:marTop w:val="0"/>
      <w:marBottom w:val="0"/>
      <w:divBdr>
        <w:top w:val="none" w:sz="0" w:space="0" w:color="auto"/>
        <w:left w:val="none" w:sz="0" w:space="0" w:color="auto"/>
        <w:bottom w:val="none" w:sz="0" w:space="0" w:color="auto"/>
        <w:right w:val="none" w:sz="0" w:space="0" w:color="auto"/>
      </w:divBdr>
    </w:div>
    <w:div w:id="1363900982">
      <w:bodyDiv w:val="1"/>
      <w:marLeft w:val="0"/>
      <w:marRight w:val="0"/>
      <w:marTop w:val="0"/>
      <w:marBottom w:val="0"/>
      <w:divBdr>
        <w:top w:val="none" w:sz="0" w:space="0" w:color="auto"/>
        <w:left w:val="none" w:sz="0" w:space="0" w:color="auto"/>
        <w:bottom w:val="none" w:sz="0" w:space="0" w:color="auto"/>
        <w:right w:val="none" w:sz="0" w:space="0" w:color="auto"/>
      </w:divBdr>
    </w:div>
    <w:div w:id="1400438805">
      <w:bodyDiv w:val="1"/>
      <w:marLeft w:val="0"/>
      <w:marRight w:val="0"/>
      <w:marTop w:val="0"/>
      <w:marBottom w:val="0"/>
      <w:divBdr>
        <w:top w:val="none" w:sz="0" w:space="0" w:color="auto"/>
        <w:left w:val="none" w:sz="0" w:space="0" w:color="auto"/>
        <w:bottom w:val="none" w:sz="0" w:space="0" w:color="auto"/>
        <w:right w:val="none" w:sz="0" w:space="0" w:color="auto"/>
      </w:divBdr>
    </w:div>
    <w:div w:id="1413698993">
      <w:bodyDiv w:val="1"/>
      <w:marLeft w:val="0"/>
      <w:marRight w:val="0"/>
      <w:marTop w:val="0"/>
      <w:marBottom w:val="0"/>
      <w:divBdr>
        <w:top w:val="none" w:sz="0" w:space="0" w:color="auto"/>
        <w:left w:val="none" w:sz="0" w:space="0" w:color="auto"/>
        <w:bottom w:val="none" w:sz="0" w:space="0" w:color="auto"/>
        <w:right w:val="none" w:sz="0" w:space="0" w:color="auto"/>
      </w:divBdr>
    </w:div>
    <w:div w:id="1416902256">
      <w:bodyDiv w:val="1"/>
      <w:marLeft w:val="0"/>
      <w:marRight w:val="0"/>
      <w:marTop w:val="0"/>
      <w:marBottom w:val="0"/>
      <w:divBdr>
        <w:top w:val="none" w:sz="0" w:space="0" w:color="auto"/>
        <w:left w:val="none" w:sz="0" w:space="0" w:color="auto"/>
        <w:bottom w:val="none" w:sz="0" w:space="0" w:color="auto"/>
        <w:right w:val="none" w:sz="0" w:space="0" w:color="auto"/>
      </w:divBdr>
    </w:div>
    <w:div w:id="1424378857">
      <w:bodyDiv w:val="1"/>
      <w:marLeft w:val="0"/>
      <w:marRight w:val="0"/>
      <w:marTop w:val="0"/>
      <w:marBottom w:val="0"/>
      <w:divBdr>
        <w:top w:val="none" w:sz="0" w:space="0" w:color="auto"/>
        <w:left w:val="none" w:sz="0" w:space="0" w:color="auto"/>
        <w:bottom w:val="none" w:sz="0" w:space="0" w:color="auto"/>
        <w:right w:val="none" w:sz="0" w:space="0" w:color="auto"/>
      </w:divBdr>
    </w:div>
    <w:div w:id="1465855991">
      <w:bodyDiv w:val="1"/>
      <w:marLeft w:val="0"/>
      <w:marRight w:val="0"/>
      <w:marTop w:val="0"/>
      <w:marBottom w:val="0"/>
      <w:divBdr>
        <w:top w:val="none" w:sz="0" w:space="0" w:color="auto"/>
        <w:left w:val="none" w:sz="0" w:space="0" w:color="auto"/>
        <w:bottom w:val="none" w:sz="0" w:space="0" w:color="auto"/>
        <w:right w:val="none" w:sz="0" w:space="0" w:color="auto"/>
      </w:divBdr>
    </w:div>
    <w:div w:id="1491486670">
      <w:bodyDiv w:val="1"/>
      <w:marLeft w:val="0"/>
      <w:marRight w:val="0"/>
      <w:marTop w:val="0"/>
      <w:marBottom w:val="0"/>
      <w:divBdr>
        <w:top w:val="none" w:sz="0" w:space="0" w:color="auto"/>
        <w:left w:val="none" w:sz="0" w:space="0" w:color="auto"/>
        <w:bottom w:val="none" w:sz="0" w:space="0" w:color="auto"/>
        <w:right w:val="none" w:sz="0" w:space="0" w:color="auto"/>
      </w:divBdr>
    </w:div>
    <w:div w:id="1540165158">
      <w:bodyDiv w:val="1"/>
      <w:marLeft w:val="0"/>
      <w:marRight w:val="0"/>
      <w:marTop w:val="0"/>
      <w:marBottom w:val="0"/>
      <w:divBdr>
        <w:top w:val="none" w:sz="0" w:space="0" w:color="auto"/>
        <w:left w:val="none" w:sz="0" w:space="0" w:color="auto"/>
        <w:bottom w:val="none" w:sz="0" w:space="0" w:color="auto"/>
        <w:right w:val="none" w:sz="0" w:space="0" w:color="auto"/>
      </w:divBdr>
    </w:div>
    <w:div w:id="1578829698">
      <w:bodyDiv w:val="1"/>
      <w:marLeft w:val="0"/>
      <w:marRight w:val="0"/>
      <w:marTop w:val="0"/>
      <w:marBottom w:val="0"/>
      <w:divBdr>
        <w:top w:val="none" w:sz="0" w:space="0" w:color="auto"/>
        <w:left w:val="none" w:sz="0" w:space="0" w:color="auto"/>
        <w:bottom w:val="none" w:sz="0" w:space="0" w:color="auto"/>
        <w:right w:val="none" w:sz="0" w:space="0" w:color="auto"/>
      </w:divBdr>
    </w:div>
    <w:div w:id="1585844263">
      <w:bodyDiv w:val="1"/>
      <w:marLeft w:val="0"/>
      <w:marRight w:val="0"/>
      <w:marTop w:val="0"/>
      <w:marBottom w:val="0"/>
      <w:divBdr>
        <w:top w:val="none" w:sz="0" w:space="0" w:color="auto"/>
        <w:left w:val="none" w:sz="0" w:space="0" w:color="auto"/>
        <w:bottom w:val="none" w:sz="0" w:space="0" w:color="auto"/>
        <w:right w:val="none" w:sz="0" w:space="0" w:color="auto"/>
      </w:divBdr>
    </w:div>
    <w:div w:id="1633168342">
      <w:bodyDiv w:val="1"/>
      <w:marLeft w:val="0"/>
      <w:marRight w:val="0"/>
      <w:marTop w:val="0"/>
      <w:marBottom w:val="0"/>
      <w:divBdr>
        <w:top w:val="none" w:sz="0" w:space="0" w:color="auto"/>
        <w:left w:val="none" w:sz="0" w:space="0" w:color="auto"/>
        <w:bottom w:val="none" w:sz="0" w:space="0" w:color="auto"/>
        <w:right w:val="none" w:sz="0" w:space="0" w:color="auto"/>
      </w:divBdr>
    </w:div>
    <w:div w:id="1637948811">
      <w:bodyDiv w:val="1"/>
      <w:marLeft w:val="0"/>
      <w:marRight w:val="0"/>
      <w:marTop w:val="0"/>
      <w:marBottom w:val="0"/>
      <w:divBdr>
        <w:top w:val="none" w:sz="0" w:space="0" w:color="auto"/>
        <w:left w:val="none" w:sz="0" w:space="0" w:color="auto"/>
        <w:bottom w:val="none" w:sz="0" w:space="0" w:color="auto"/>
        <w:right w:val="none" w:sz="0" w:space="0" w:color="auto"/>
      </w:divBdr>
    </w:div>
    <w:div w:id="1693870769">
      <w:bodyDiv w:val="1"/>
      <w:marLeft w:val="0"/>
      <w:marRight w:val="0"/>
      <w:marTop w:val="0"/>
      <w:marBottom w:val="0"/>
      <w:divBdr>
        <w:top w:val="none" w:sz="0" w:space="0" w:color="auto"/>
        <w:left w:val="none" w:sz="0" w:space="0" w:color="auto"/>
        <w:bottom w:val="none" w:sz="0" w:space="0" w:color="auto"/>
        <w:right w:val="none" w:sz="0" w:space="0" w:color="auto"/>
      </w:divBdr>
    </w:div>
    <w:div w:id="1704742766">
      <w:bodyDiv w:val="1"/>
      <w:marLeft w:val="0"/>
      <w:marRight w:val="0"/>
      <w:marTop w:val="0"/>
      <w:marBottom w:val="0"/>
      <w:divBdr>
        <w:top w:val="none" w:sz="0" w:space="0" w:color="auto"/>
        <w:left w:val="none" w:sz="0" w:space="0" w:color="auto"/>
        <w:bottom w:val="none" w:sz="0" w:space="0" w:color="auto"/>
        <w:right w:val="none" w:sz="0" w:space="0" w:color="auto"/>
      </w:divBdr>
    </w:div>
    <w:div w:id="1709718925">
      <w:bodyDiv w:val="1"/>
      <w:marLeft w:val="0"/>
      <w:marRight w:val="0"/>
      <w:marTop w:val="0"/>
      <w:marBottom w:val="0"/>
      <w:divBdr>
        <w:top w:val="none" w:sz="0" w:space="0" w:color="auto"/>
        <w:left w:val="none" w:sz="0" w:space="0" w:color="auto"/>
        <w:bottom w:val="none" w:sz="0" w:space="0" w:color="auto"/>
        <w:right w:val="none" w:sz="0" w:space="0" w:color="auto"/>
      </w:divBdr>
    </w:div>
    <w:div w:id="1786122360">
      <w:bodyDiv w:val="1"/>
      <w:marLeft w:val="0"/>
      <w:marRight w:val="0"/>
      <w:marTop w:val="0"/>
      <w:marBottom w:val="0"/>
      <w:divBdr>
        <w:top w:val="none" w:sz="0" w:space="0" w:color="auto"/>
        <w:left w:val="none" w:sz="0" w:space="0" w:color="auto"/>
        <w:bottom w:val="none" w:sz="0" w:space="0" w:color="auto"/>
        <w:right w:val="none" w:sz="0" w:space="0" w:color="auto"/>
      </w:divBdr>
    </w:div>
    <w:div w:id="1854342763">
      <w:bodyDiv w:val="1"/>
      <w:marLeft w:val="0"/>
      <w:marRight w:val="0"/>
      <w:marTop w:val="0"/>
      <w:marBottom w:val="0"/>
      <w:divBdr>
        <w:top w:val="none" w:sz="0" w:space="0" w:color="auto"/>
        <w:left w:val="none" w:sz="0" w:space="0" w:color="auto"/>
        <w:bottom w:val="none" w:sz="0" w:space="0" w:color="auto"/>
        <w:right w:val="none" w:sz="0" w:space="0" w:color="auto"/>
      </w:divBdr>
    </w:div>
    <w:div w:id="1924945139">
      <w:bodyDiv w:val="1"/>
      <w:marLeft w:val="0"/>
      <w:marRight w:val="0"/>
      <w:marTop w:val="0"/>
      <w:marBottom w:val="0"/>
      <w:divBdr>
        <w:top w:val="none" w:sz="0" w:space="0" w:color="auto"/>
        <w:left w:val="none" w:sz="0" w:space="0" w:color="auto"/>
        <w:bottom w:val="none" w:sz="0" w:space="0" w:color="auto"/>
        <w:right w:val="none" w:sz="0" w:space="0" w:color="auto"/>
      </w:divBdr>
    </w:div>
    <w:div w:id="2041467564">
      <w:bodyDiv w:val="1"/>
      <w:marLeft w:val="0"/>
      <w:marRight w:val="0"/>
      <w:marTop w:val="0"/>
      <w:marBottom w:val="0"/>
      <w:divBdr>
        <w:top w:val="none" w:sz="0" w:space="0" w:color="auto"/>
        <w:left w:val="none" w:sz="0" w:space="0" w:color="auto"/>
        <w:bottom w:val="none" w:sz="0" w:space="0" w:color="auto"/>
        <w:right w:val="none" w:sz="0" w:space="0" w:color="auto"/>
      </w:divBdr>
    </w:div>
    <w:div w:id="2042513036">
      <w:bodyDiv w:val="1"/>
      <w:marLeft w:val="0"/>
      <w:marRight w:val="0"/>
      <w:marTop w:val="0"/>
      <w:marBottom w:val="0"/>
      <w:divBdr>
        <w:top w:val="none" w:sz="0" w:space="0" w:color="auto"/>
        <w:left w:val="none" w:sz="0" w:space="0" w:color="auto"/>
        <w:bottom w:val="none" w:sz="0" w:space="0" w:color="auto"/>
        <w:right w:val="none" w:sz="0" w:space="0" w:color="auto"/>
      </w:divBdr>
    </w:div>
    <w:div w:id="2044281155">
      <w:bodyDiv w:val="1"/>
      <w:marLeft w:val="0"/>
      <w:marRight w:val="0"/>
      <w:marTop w:val="0"/>
      <w:marBottom w:val="0"/>
      <w:divBdr>
        <w:top w:val="none" w:sz="0" w:space="0" w:color="auto"/>
        <w:left w:val="none" w:sz="0" w:space="0" w:color="auto"/>
        <w:bottom w:val="none" w:sz="0" w:space="0" w:color="auto"/>
        <w:right w:val="none" w:sz="0" w:space="0" w:color="auto"/>
      </w:divBdr>
    </w:div>
    <w:div w:id="2060132350">
      <w:bodyDiv w:val="1"/>
      <w:marLeft w:val="0"/>
      <w:marRight w:val="0"/>
      <w:marTop w:val="0"/>
      <w:marBottom w:val="0"/>
      <w:divBdr>
        <w:top w:val="none" w:sz="0" w:space="0" w:color="auto"/>
        <w:left w:val="none" w:sz="0" w:space="0" w:color="auto"/>
        <w:bottom w:val="none" w:sz="0" w:space="0" w:color="auto"/>
        <w:right w:val="none" w:sz="0" w:space="0" w:color="auto"/>
      </w:divBdr>
    </w:div>
    <w:div w:id="2062054605">
      <w:bodyDiv w:val="1"/>
      <w:marLeft w:val="0"/>
      <w:marRight w:val="0"/>
      <w:marTop w:val="0"/>
      <w:marBottom w:val="0"/>
      <w:divBdr>
        <w:top w:val="none" w:sz="0" w:space="0" w:color="auto"/>
        <w:left w:val="none" w:sz="0" w:space="0" w:color="auto"/>
        <w:bottom w:val="none" w:sz="0" w:space="0" w:color="auto"/>
        <w:right w:val="none" w:sz="0" w:space="0" w:color="auto"/>
      </w:divBdr>
    </w:div>
    <w:div w:id="2063167138">
      <w:bodyDiv w:val="1"/>
      <w:marLeft w:val="0"/>
      <w:marRight w:val="0"/>
      <w:marTop w:val="0"/>
      <w:marBottom w:val="0"/>
      <w:divBdr>
        <w:top w:val="none" w:sz="0" w:space="0" w:color="auto"/>
        <w:left w:val="none" w:sz="0" w:space="0" w:color="auto"/>
        <w:bottom w:val="none" w:sz="0" w:space="0" w:color="auto"/>
        <w:right w:val="none" w:sz="0" w:space="0" w:color="auto"/>
      </w:divBdr>
    </w:div>
    <w:div w:id="2118017606">
      <w:bodyDiv w:val="1"/>
      <w:marLeft w:val="0"/>
      <w:marRight w:val="0"/>
      <w:marTop w:val="0"/>
      <w:marBottom w:val="0"/>
      <w:divBdr>
        <w:top w:val="none" w:sz="0" w:space="0" w:color="auto"/>
        <w:left w:val="none" w:sz="0" w:space="0" w:color="auto"/>
        <w:bottom w:val="none" w:sz="0" w:space="0" w:color="auto"/>
        <w:right w:val="none" w:sz="0" w:space="0" w:color="auto"/>
      </w:divBdr>
    </w:div>
    <w:div w:id="212529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E:\&#25237;&#36830;&#36164;&#26009;\&#25237;&#36830;&#31649;&#29702;&#25253;&#34920;\&#25237;&#36830;&#25253;&#21578;\2015&#24180;-&#19978;&#21322;&#24180;&#25237;&#36830;&#20449;&#24687;&#20844;&#21578;\&#25237;&#36830;&#20449;&#24687;&#20844;&#21578;&#25253;&#21578;&#36741;&#21161;&#34920;-2015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lineChart>
        <c:grouping val="standard"/>
        <c:ser>
          <c:idx val="0"/>
          <c:order val="0"/>
          <c:cat>
            <c:numRef>
              <c:f>'201506稳健'!$C$50:$C$55</c:f>
              <c:numCache>
                <c:formatCode>yyyy/m/d</c:formatCode>
                <c:ptCount val="6"/>
                <c:pt idx="0">
                  <c:v>41790</c:v>
                </c:pt>
                <c:pt idx="1">
                  <c:v>41820</c:v>
                </c:pt>
                <c:pt idx="2">
                  <c:v>41912</c:v>
                </c:pt>
                <c:pt idx="3">
                  <c:v>42004</c:v>
                </c:pt>
                <c:pt idx="4">
                  <c:v>42094</c:v>
                </c:pt>
                <c:pt idx="5">
                  <c:v>42185</c:v>
                </c:pt>
              </c:numCache>
            </c:numRef>
          </c:cat>
          <c:val>
            <c:numRef>
              <c:f>'201506稳健'!$D$50:$D$55</c:f>
              <c:numCache>
                <c:formatCode>0.00_ </c:formatCode>
                <c:ptCount val="6"/>
                <c:pt idx="0">
                  <c:v>1.0005752799999998</c:v>
                </c:pt>
                <c:pt idx="1">
                  <c:v>1.00648498</c:v>
                </c:pt>
                <c:pt idx="2">
                  <c:v>1.0251942299999965</c:v>
                </c:pt>
                <c:pt idx="3">
                  <c:v>1.0442184999999999</c:v>
                </c:pt>
                <c:pt idx="4">
                  <c:v>1.0627126099999999</c:v>
                </c:pt>
                <c:pt idx="5">
                  <c:v>1.08122791</c:v>
                </c:pt>
              </c:numCache>
            </c:numRef>
          </c:val>
        </c:ser>
        <c:marker val="1"/>
        <c:axId val="101050240"/>
        <c:axId val="259044480"/>
      </c:lineChart>
      <c:catAx>
        <c:axId val="101050240"/>
        <c:scaling>
          <c:orientation val="minMax"/>
        </c:scaling>
        <c:axPos val="b"/>
        <c:numFmt formatCode="yyyy/m/d" sourceLinked="1"/>
        <c:tickLblPos val="nextTo"/>
        <c:txPr>
          <a:bodyPr rot="-5400000" vert="horz"/>
          <a:lstStyle/>
          <a:p>
            <a:pPr>
              <a:defRPr baseline="0">
                <a:latin typeface="Times New Roman" pitchFamily="18" charset="0"/>
                <a:cs typeface="Times New Roman" pitchFamily="18" charset="0"/>
              </a:defRPr>
            </a:pPr>
            <a:endParaRPr lang="zh-CN"/>
          </a:p>
        </c:txPr>
        <c:crossAx val="259044480"/>
        <c:crosses val="autoZero"/>
        <c:lblAlgn val="ctr"/>
        <c:lblOffset val="100"/>
      </c:catAx>
      <c:valAx>
        <c:axId val="259044480"/>
        <c:scaling>
          <c:orientation val="minMax"/>
        </c:scaling>
        <c:axPos val="l"/>
        <c:majorGridlines/>
        <c:numFmt formatCode="0.00_ " sourceLinked="1"/>
        <c:tickLblPos val="nextTo"/>
        <c:spPr>
          <a:ln>
            <a:noFill/>
          </a:ln>
        </c:spPr>
        <c:txPr>
          <a:bodyPr/>
          <a:lstStyle/>
          <a:p>
            <a:pPr>
              <a:defRPr>
                <a:latin typeface="Times New Roman" pitchFamily="18" charset="0"/>
                <a:cs typeface="Times New Roman" pitchFamily="18" charset="0"/>
              </a:defRPr>
            </a:pPr>
            <a:endParaRPr lang="zh-CN"/>
          </a:p>
        </c:txPr>
        <c:crossAx val="101050240"/>
        <c:crosses val="autoZero"/>
        <c:crossBetween val="between"/>
      </c:valAx>
    </c:plotArea>
    <c:plotVisOnly val="1"/>
  </c:chart>
  <c:spPr>
    <a:ln>
      <a:noFill/>
    </a:ln>
  </c:sp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DCF3D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9358A48-2D3F-4A19-9C86-99EC2EA4B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5</Pages>
  <Words>479</Words>
  <Characters>2732</Characters>
  <Application>Microsoft Office Word</Application>
  <DocSecurity>0</DocSecurity>
  <Lines>22</Lines>
  <Paragraphs>6</Paragraphs>
  <ScaleCrop>false</ScaleCrop>
  <Company/>
  <LinksUpToDate>false</LinksUpToDate>
  <CharactersWithSpaces>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donghb</dc:creator>
  <cp:keywords/>
  <dc:description/>
  <cp:lastModifiedBy>guoyz01</cp:lastModifiedBy>
  <cp:revision>211</cp:revision>
  <cp:lastPrinted>2015-01-20T06:51:00Z</cp:lastPrinted>
  <dcterms:created xsi:type="dcterms:W3CDTF">2014-10-07T10:55:00Z</dcterms:created>
  <dcterms:modified xsi:type="dcterms:W3CDTF">2015-08-13T06:26:00Z</dcterms:modified>
</cp:coreProperties>
</file>